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6A" w:rsidRDefault="00B77C6A" w:rsidP="00E210FE">
      <w:pPr>
        <w:spacing w:before="120" w:after="120"/>
        <w:jc w:val="center"/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B77C6A" w:rsidRDefault="00B77C6A" w:rsidP="00E210FE">
      <w:pPr>
        <w:spacing w:before="120" w:after="120"/>
        <w:jc w:val="center"/>
        <w:rPr>
          <w:b/>
          <w:color w:val="1F4E79" w:themeColor="accent1" w:themeShade="80"/>
          <w:sz w:val="28"/>
          <w:szCs w:val="28"/>
        </w:rPr>
      </w:pPr>
    </w:p>
    <w:p w:rsidR="00B77C6A" w:rsidRDefault="00B77C6A" w:rsidP="00E65CA4">
      <w:pPr>
        <w:spacing w:before="120" w:after="120"/>
        <w:rPr>
          <w:b/>
          <w:color w:val="1F4E79" w:themeColor="accent1" w:themeShade="80"/>
          <w:sz w:val="28"/>
          <w:szCs w:val="28"/>
        </w:rPr>
      </w:pPr>
    </w:p>
    <w:p w:rsidR="00E65CA4" w:rsidRDefault="00E65CA4" w:rsidP="00E65CA4">
      <w:pPr>
        <w:spacing w:before="120" w:after="120"/>
        <w:rPr>
          <w:b/>
          <w:color w:val="1F4E79" w:themeColor="accent1" w:themeShade="80"/>
          <w:sz w:val="28"/>
          <w:szCs w:val="28"/>
        </w:rPr>
      </w:pPr>
    </w:p>
    <w:p w:rsidR="00B77C6A" w:rsidRDefault="00B77C6A" w:rsidP="00E210FE">
      <w:pPr>
        <w:spacing w:before="120" w:after="120"/>
        <w:jc w:val="center"/>
        <w:rPr>
          <w:b/>
          <w:color w:val="1F4E79" w:themeColor="accent1" w:themeShade="80"/>
          <w:sz w:val="28"/>
          <w:szCs w:val="28"/>
        </w:rPr>
      </w:pPr>
    </w:p>
    <w:p w:rsidR="00B77C6A" w:rsidRPr="00E65CA4" w:rsidRDefault="00B77C6A" w:rsidP="00E210FE">
      <w:pPr>
        <w:spacing w:before="120" w:after="120"/>
        <w:jc w:val="center"/>
        <w:rPr>
          <w:b/>
          <w:color w:val="1F4E79" w:themeColor="accent1" w:themeShade="80"/>
          <w:sz w:val="44"/>
          <w:szCs w:val="44"/>
        </w:rPr>
      </w:pPr>
    </w:p>
    <w:p w:rsidR="00F96C25" w:rsidRPr="00E65CA4" w:rsidRDefault="00694F55" w:rsidP="00C831CA">
      <w:pPr>
        <w:spacing w:before="120" w:after="120"/>
        <w:jc w:val="center"/>
        <w:rPr>
          <w:b/>
          <w:color w:val="1F4E79" w:themeColor="accent1" w:themeShade="80"/>
          <w:sz w:val="44"/>
          <w:szCs w:val="44"/>
        </w:rPr>
      </w:pPr>
      <w:r w:rsidRPr="00E65CA4">
        <w:rPr>
          <w:b/>
          <w:color w:val="1F4E79" w:themeColor="accent1" w:themeShade="80"/>
          <w:sz w:val="44"/>
          <w:szCs w:val="44"/>
        </w:rPr>
        <w:t>Formulário</w:t>
      </w:r>
      <w:r w:rsidR="00CF0785">
        <w:rPr>
          <w:b/>
          <w:color w:val="1F4E79" w:themeColor="accent1" w:themeShade="80"/>
          <w:sz w:val="44"/>
          <w:szCs w:val="44"/>
        </w:rPr>
        <w:t xml:space="preserve"> </w:t>
      </w:r>
      <w:r w:rsidR="00DC6B4E">
        <w:rPr>
          <w:b/>
          <w:color w:val="1F4E79" w:themeColor="accent1" w:themeShade="80"/>
          <w:sz w:val="44"/>
          <w:szCs w:val="44"/>
        </w:rPr>
        <w:t>para</w:t>
      </w:r>
      <w:r w:rsidR="00E65CA4">
        <w:rPr>
          <w:b/>
          <w:color w:val="1F4E79" w:themeColor="accent1" w:themeShade="80"/>
          <w:sz w:val="44"/>
          <w:szCs w:val="44"/>
        </w:rPr>
        <w:t xml:space="preserve"> requerimento de</w:t>
      </w:r>
      <w:r w:rsidRPr="00E65CA4">
        <w:rPr>
          <w:b/>
          <w:color w:val="1F4E79" w:themeColor="accent1" w:themeShade="80"/>
          <w:sz w:val="44"/>
          <w:szCs w:val="44"/>
        </w:rPr>
        <w:t xml:space="preserve"> avaliação de compatibilidade de localização </w:t>
      </w:r>
    </w:p>
    <w:p w:rsidR="0052730D" w:rsidRPr="00F96C25" w:rsidRDefault="0052730D" w:rsidP="00C831CA">
      <w:pPr>
        <w:spacing w:before="120" w:after="120"/>
        <w:jc w:val="center"/>
        <w:rPr>
          <w:b/>
          <w:color w:val="1F4E79" w:themeColor="accent1" w:themeShade="80"/>
          <w:sz w:val="40"/>
          <w:szCs w:val="40"/>
        </w:rPr>
      </w:pPr>
      <w:r w:rsidRPr="0052730D">
        <w:rPr>
          <w:b/>
          <w:color w:val="1F4E79" w:themeColor="accent1" w:themeShade="80"/>
          <w:sz w:val="28"/>
          <w:szCs w:val="28"/>
        </w:rPr>
        <w:t xml:space="preserve">e </w:t>
      </w:r>
      <w:r>
        <w:rPr>
          <w:b/>
          <w:color w:val="1F4E79" w:themeColor="accent1" w:themeShade="80"/>
          <w:sz w:val="28"/>
          <w:szCs w:val="28"/>
        </w:rPr>
        <w:t>orientações para elaboração do estudo de</w:t>
      </w:r>
      <w:r w:rsidRPr="005226E6">
        <w:rPr>
          <w:b/>
          <w:color w:val="1F4E79" w:themeColor="accent1" w:themeShade="80"/>
          <w:sz w:val="28"/>
          <w:szCs w:val="28"/>
        </w:rPr>
        <w:t xml:space="preserve"> Avaliação de Compatilidade de Localização</w:t>
      </w:r>
    </w:p>
    <w:p w:rsidR="0052730D" w:rsidRDefault="0052730D" w:rsidP="00D86C8D">
      <w:pPr>
        <w:spacing w:before="120" w:after="120"/>
        <w:jc w:val="center"/>
        <w:rPr>
          <w:color w:val="1F4E79" w:themeColor="accent1" w:themeShade="80"/>
          <w:sz w:val="36"/>
          <w:szCs w:val="36"/>
        </w:rPr>
      </w:pPr>
    </w:p>
    <w:p w:rsidR="0052730D" w:rsidRDefault="0052730D" w:rsidP="00D86C8D">
      <w:pPr>
        <w:spacing w:before="120" w:after="120"/>
        <w:jc w:val="center"/>
        <w:rPr>
          <w:color w:val="1F4E79" w:themeColor="accent1" w:themeShade="80"/>
          <w:sz w:val="36"/>
          <w:szCs w:val="36"/>
        </w:rPr>
      </w:pPr>
    </w:p>
    <w:p w:rsidR="0052730D" w:rsidRDefault="0052730D" w:rsidP="00D86C8D">
      <w:pPr>
        <w:spacing w:before="120" w:after="120"/>
        <w:jc w:val="center"/>
        <w:rPr>
          <w:color w:val="1F4E79" w:themeColor="accent1" w:themeShade="80"/>
          <w:sz w:val="28"/>
          <w:szCs w:val="28"/>
        </w:rPr>
      </w:pPr>
    </w:p>
    <w:p w:rsidR="0052730D" w:rsidRDefault="0052730D" w:rsidP="00D86C8D">
      <w:pPr>
        <w:spacing w:before="120" w:after="120"/>
        <w:jc w:val="center"/>
        <w:rPr>
          <w:color w:val="1F4E79" w:themeColor="accent1" w:themeShade="80"/>
          <w:sz w:val="28"/>
          <w:szCs w:val="28"/>
        </w:rPr>
      </w:pPr>
    </w:p>
    <w:p w:rsidR="0052730D" w:rsidRDefault="0052730D" w:rsidP="00D86C8D">
      <w:pPr>
        <w:spacing w:before="120" w:after="120"/>
        <w:jc w:val="center"/>
        <w:rPr>
          <w:color w:val="1F4E79" w:themeColor="accent1" w:themeShade="80"/>
          <w:sz w:val="28"/>
          <w:szCs w:val="28"/>
        </w:rPr>
      </w:pPr>
    </w:p>
    <w:p w:rsidR="0052730D" w:rsidRDefault="0052730D" w:rsidP="00D86C8D">
      <w:pPr>
        <w:spacing w:before="120" w:after="120"/>
        <w:jc w:val="center"/>
        <w:rPr>
          <w:color w:val="1F4E79" w:themeColor="accent1" w:themeShade="80"/>
          <w:sz w:val="28"/>
          <w:szCs w:val="28"/>
        </w:rPr>
      </w:pPr>
    </w:p>
    <w:p w:rsidR="0052730D" w:rsidRPr="00E65CA4" w:rsidRDefault="0052730D" w:rsidP="00D86C8D">
      <w:pPr>
        <w:spacing w:before="120" w:after="120"/>
        <w:jc w:val="center"/>
        <w:rPr>
          <w:color w:val="1F4E79" w:themeColor="accent1" w:themeShade="80"/>
          <w:sz w:val="28"/>
          <w:szCs w:val="28"/>
        </w:rPr>
      </w:pPr>
    </w:p>
    <w:p w:rsidR="00E65CA4" w:rsidRPr="001E0D52" w:rsidRDefault="00E65CA4" w:rsidP="00E65CA4">
      <w:pPr>
        <w:spacing w:before="120" w:after="120"/>
        <w:jc w:val="center"/>
        <w:rPr>
          <w:b/>
          <w:color w:val="1F4E79" w:themeColor="accent1" w:themeShade="80"/>
          <w:sz w:val="26"/>
          <w:szCs w:val="26"/>
        </w:rPr>
      </w:pPr>
      <w:r w:rsidRPr="001E0D52">
        <w:rPr>
          <w:b/>
          <w:color w:val="1F4E79" w:themeColor="accent1" w:themeShade="80"/>
          <w:sz w:val="26"/>
          <w:szCs w:val="26"/>
        </w:rPr>
        <w:t>Regime de prevenção de acidentes graves que envolvem substâncias perigosas e de limitação das suas consequências para a saúde humana e para o ambiente</w:t>
      </w:r>
    </w:p>
    <w:p w:rsidR="004A52FC" w:rsidRDefault="004A52FC"/>
    <w:p w:rsidR="004A52FC" w:rsidRPr="00E65CA4" w:rsidRDefault="004A52FC" w:rsidP="00E65CA4">
      <w:pPr>
        <w:jc w:val="right"/>
        <w:rPr>
          <w:b/>
          <w:color w:val="1F4E79" w:themeColor="accent1" w:themeShade="80"/>
          <w:sz w:val="28"/>
          <w:szCs w:val="28"/>
        </w:rPr>
      </w:pPr>
    </w:p>
    <w:p w:rsidR="00C0409D" w:rsidRDefault="00C0409D" w:rsidP="00E65CA4">
      <w:pPr>
        <w:jc w:val="right"/>
        <w:rPr>
          <w:b/>
          <w:color w:val="1F4E79" w:themeColor="accent1" w:themeShade="80"/>
          <w:sz w:val="28"/>
          <w:szCs w:val="28"/>
        </w:rPr>
      </w:pPr>
    </w:p>
    <w:p w:rsidR="00E65CA4" w:rsidRPr="00E65CA4" w:rsidRDefault="00C0409D" w:rsidP="00E65CA4">
      <w:pPr>
        <w:jc w:val="right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Dezembro</w:t>
      </w:r>
      <w:r w:rsidR="006D26C9">
        <w:rPr>
          <w:b/>
          <w:color w:val="1F4E79" w:themeColor="accent1" w:themeShade="80"/>
          <w:sz w:val="28"/>
          <w:szCs w:val="28"/>
        </w:rPr>
        <w:t xml:space="preserve"> </w:t>
      </w:r>
      <w:r w:rsidR="00E65CA4" w:rsidRPr="00E65CA4">
        <w:rPr>
          <w:b/>
          <w:color w:val="1F4E79" w:themeColor="accent1" w:themeShade="80"/>
          <w:sz w:val="28"/>
          <w:szCs w:val="28"/>
        </w:rPr>
        <w:t>de 2016</w:t>
      </w:r>
    </w:p>
    <w:p w:rsidR="00794612" w:rsidRPr="00D255DF" w:rsidRDefault="00794612" w:rsidP="00527ECC">
      <w:pPr>
        <w:rPr>
          <w:b/>
          <w:sz w:val="28"/>
          <w:szCs w:val="28"/>
        </w:rPr>
      </w:pPr>
    </w:p>
    <w:p w:rsidR="00794612" w:rsidRDefault="00794612" w:rsidP="009E6C53">
      <w:pPr>
        <w:jc w:val="right"/>
        <w:rPr>
          <w:b/>
          <w:color w:val="1F3864" w:themeColor="accent5" w:themeShade="80"/>
          <w:sz w:val="24"/>
          <w:szCs w:val="24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D3027" w:rsidTr="002954E8">
        <w:trPr>
          <w:trHeight w:val="430"/>
        </w:trPr>
        <w:tc>
          <w:tcPr>
            <w:tcW w:w="8784" w:type="dxa"/>
          </w:tcPr>
          <w:p w:rsidR="003D3027" w:rsidRPr="003D3027" w:rsidRDefault="003D3027" w:rsidP="00BE6348">
            <w:pPr>
              <w:jc w:val="both"/>
              <w:rPr>
                <w:rFonts w:asciiTheme="minorHAnsi" w:hAnsiTheme="minorHAnsi"/>
                <w:b/>
                <w:color w:val="1F3864" w:themeColor="accent5" w:themeShade="80"/>
                <w:sz w:val="28"/>
                <w:szCs w:val="28"/>
              </w:rPr>
            </w:pPr>
            <w:r w:rsidRPr="003D3027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INTRODUÇÃO</w:t>
            </w:r>
          </w:p>
        </w:tc>
      </w:tr>
    </w:tbl>
    <w:p w:rsidR="003D3027" w:rsidRPr="00F90209" w:rsidRDefault="003D3027" w:rsidP="00A43F5D">
      <w:pPr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>O Decreto-Lei n.º 150/2015, de 5 de agosto, transpõe para o direito interno a Diretiva 2012/18/UE, do Parlamento Europeu e do Conselho de 4 de julho de 2012, e estabelece o regime de prevenção de acidentes graves que envolvem substâncias perigosas e de limitação das suas consequências para a saúde humana e para o ambiente.</w:t>
      </w:r>
    </w:p>
    <w:p w:rsidR="00430A4C" w:rsidRPr="00F90209" w:rsidRDefault="00430A4C" w:rsidP="00BA28B1">
      <w:p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>O artigo 7.º do Decreto-Lei n.º 150/2015, de 5 agosto, prevê que sejam mantidas distâncias de segurança adequadas entre os estabelecimentos abrangidos pelo referido decreto-lei e as zonas residenciais, os locais de utilização pública, as vias de comunicação e, se aplicável, as zonas ambientalmente sensíveis.</w:t>
      </w:r>
      <w:r w:rsidR="00450B48" w:rsidRPr="00F90209">
        <w:rPr>
          <w:sz w:val="23"/>
          <w:szCs w:val="23"/>
        </w:rPr>
        <w:t xml:space="preserve"> </w:t>
      </w:r>
    </w:p>
    <w:p w:rsidR="00C54FA6" w:rsidRPr="00F90209" w:rsidRDefault="00C54FA6" w:rsidP="00C54FA6">
      <w:p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 xml:space="preserve">A manutenção das referidas distâncias é feita </w:t>
      </w:r>
      <w:r w:rsidR="00203FA1">
        <w:rPr>
          <w:sz w:val="23"/>
          <w:szCs w:val="23"/>
        </w:rPr>
        <w:t xml:space="preserve">nomeadamente </w:t>
      </w:r>
      <w:r w:rsidRPr="00F90209">
        <w:rPr>
          <w:sz w:val="23"/>
          <w:szCs w:val="23"/>
        </w:rPr>
        <w:t>através da avaliação de compatibilidade de localização nos seguintes casos:</w:t>
      </w:r>
    </w:p>
    <w:p w:rsidR="00C54FA6" w:rsidRPr="00F90209" w:rsidRDefault="00C54FA6" w:rsidP="00C54FA6">
      <w:pPr>
        <w:pStyle w:val="PargrafodaLista"/>
        <w:numPr>
          <w:ilvl w:val="0"/>
          <w:numId w:val="13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>projeto de implantação de um novo estabelecimento</w:t>
      </w:r>
    </w:p>
    <w:p w:rsidR="00C54FA6" w:rsidRPr="00F90209" w:rsidRDefault="00C54FA6" w:rsidP="00C54FA6">
      <w:pPr>
        <w:pStyle w:val="PargrafodaLista"/>
        <w:numPr>
          <w:ilvl w:val="0"/>
          <w:numId w:val="13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>projeto de alteração substancial que implique um aumento dos perigos de acidente grave do estabelecimento</w:t>
      </w:r>
    </w:p>
    <w:p w:rsidR="0050691C" w:rsidRPr="00F90209" w:rsidRDefault="0050691C" w:rsidP="0050691C">
      <w:p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>A avaliação é efetuada com base nas consequências previsíveis de potenciais cenários de acidentes graves, envolvendo subst</w:t>
      </w:r>
      <w:r w:rsidR="007A6622" w:rsidRPr="00F90209">
        <w:rPr>
          <w:sz w:val="23"/>
          <w:szCs w:val="23"/>
        </w:rPr>
        <w:t>âncias perigosas. A análise dess</w:t>
      </w:r>
      <w:r w:rsidRPr="00F90209">
        <w:rPr>
          <w:sz w:val="23"/>
          <w:szCs w:val="23"/>
        </w:rPr>
        <w:t>as consequências resulta na estimativa de alcances de determinados efeitos na envolvente</w:t>
      </w:r>
      <w:r w:rsidR="007A6622" w:rsidRPr="00F90209">
        <w:rPr>
          <w:sz w:val="23"/>
          <w:szCs w:val="23"/>
        </w:rPr>
        <w:t xml:space="preserve"> do estabelecimento</w:t>
      </w:r>
      <w:r w:rsidRPr="00F90209">
        <w:rPr>
          <w:sz w:val="23"/>
          <w:szCs w:val="23"/>
        </w:rPr>
        <w:t>, nomeadamente radiação tér</w:t>
      </w:r>
      <w:r w:rsidR="00DC6B4E" w:rsidRPr="00F90209">
        <w:rPr>
          <w:sz w:val="23"/>
          <w:szCs w:val="23"/>
        </w:rPr>
        <w:t>mica, sobrepressão e toxicidade, que</w:t>
      </w:r>
      <w:r w:rsidRPr="00F90209">
        <w:rPr>
          <w:sz w:val="23"/>
          <w:szCs w:val="23"/>
        </w:rPr>
        <w:t xml:space="preserve"> </w:t>
      </w:r>
      <w:r w:rsidR="00DC6B4E" w:rsidRPr="00F90209">
        <w:rPr>
          <w:sz w:val="23"/>
          <w:szCs w:val="23"/>
        </w:rPr>
        <w:t>determinam duas zonas de perigosidade progressiva na envolvente do estabelecimento (zona de efeitos letais e zona de efeitos irreversíveis na saúde humana).</w:t>
      </w:r>
    </w:p>
    <w:p w:rsidR="0029246F" w:rsidRPr="00F90209" w:rsidRDefault="007A6622" w:rsidP="0050691C">
      <w:p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 xml:space="preserve">O procedimento de avaliação de compatibilidade de localização </w:t>
      </w:r>
      <w:r w:rsidR="00DC6B4E" w:rsidRPr="00F90209">
        <w:rPr>
          <w:sz w:val="23"/>
          <w:szCs w:val="23"/>
        </w:rPr>
        <w:t xml:space="preserve">é realizado </w:t>
      </w:r>
      <w:r w:rsidRPr="00F90209">
        <w:rPr>
          <w:sz w:val="23"/>
          <w:szCs w:val="23"/>
        </w:rPr>
        <w:t>nos termos do artigo 9</w:t>
      </w:r>
      <w:r w:rsidR="0050691C" w:rsidRPr="00F90209">
        <w:rPr>
          <w:sz w:val="23"/>
          <w:szCs w:val="23"/>
        </w:rPr>
        <w:t xml:space="preserve">º </w:t>
      </w:r>
      <w:r w:rsidRPr="00F90209">
        <w:rPr>
          <w:sz w:val="23"/>
          <w:szCs w:val="23"/>
        </w:rPr>
        <w:t>do Decreto-Lei n.º 150/2015, de 5 agosto</w:t>
      </w:r>
      <w:r w:rsidR="005C47CC" w:rsidRPr="00F90209">
        <w:rPr>
          <w:sz w:val="23"/>
          <w:szCs w:val="23"/>
        </w:rPr>
        <w:t>.</w:t>
      </w:r>
    </w:p>
    <w:p w:rsidR="0050691C" w:rsidRPr="00F90209" w:rsidRDefault="007778B8" w:rsidP="0050691C">
      <w:p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 xml:space="preserve">No caso </w:t>
      </w:r>
      <w:r w:rsidR="0029246F" w:rsidRPr="00F90209">
        <w:rPr>
          <w:sz w:val="23"/>
          <w:szCs w:val="23"/>
        </w:rPr>
        <w:t>de projetos de estabelecimento ou de alteração que se enquadrem n</w:t>
      </w:r>
      <w:r w:rsidR="001E0D52" w:rsidRPr="00F90209">
        <w:rPr>
          <w:sz w:val="23"/>
          <w:szCs w:val="23"/>
        </w:rPr>
        <w:t xml:space="preserve">o regime de </w:t>
      </w:r>
      <w:r w:rsidR="0029246F" w:rsidRPr="00F90209">
        <w:rPr>
          <w:sz w:val="23"/>
          <w:szCs w:val="23"/>
        </w:rPr>
        <w:t>avaliação de impacte ambiental (AIA), o procedimento de avaliação de compatibilidade de localização, nomeadamente o pedido e a emissão de parecer, bem como a consulta p</w:t>
      </w:r>
      <w:r w:rsidR="005C47CC" w:rsidRPr="00F90209">
        <w:rPr>
          <w:sz w:val="23"/>
          <w:szCs w:val="23"/>
        </w:rPr>
        <w:t xml:space="preserve">ública, </w:t>
      </w:r>
      <w:r w:rsidR="0029246F" w:rsidRPr="00F90209">
        <w:rPr>
          <w:sz w:val="23"/>
          <w:szCs w:val="23"/>
        </w:rPr>
        <w:t>são integrados no procedimento de AIA</w:t>
      </w:r>
      <w:r w:rsidR="00203FA1" w:rsidRPr="00203FA1">
        <w:rPr>
          <w:sz w:val="23"/>
          <w:szCs w:val="23"/>
        </w:rPr>
        <w:t xml:space="preserve"> </w:t>
      </w:r>
      <w:r w:rsidR="00203FA1" w:rsidRPr="00F90209">
        <w:rPr>
          <w:sz w:val="23"/>
          <w:szCs w:val="23"/>
        </w:rPr>
        <w:t xml:space="preserve">aplicando-se os prazos previstos </w:t>
      </w:r>
      <w:r w:rsidR="00203FA1">
        <w:rPr>
          <w:sz w:val="23"/>
          <w:szCs w:val="23"/>
        </w:rPr>
        <w:t>neste</w:t>
      </w:r>
      <w:r w:rsidR="00203FA1" w:rsidRPr="00F90209">
        <w:rPr>
          <w:sz w:val="23"/>
          <w:szCs w:val="23"/>
        </w:rPr>
        <w:t xml:space="preserve"> regime</w:t>
      </w:r>
      <w:r w:rsidR="00203FA1">
        <w:rPr>
          <w:sz w:val="23"/>
          <w:szCs w:val="23"/>
        </w:rPr>
        <w:t xml:space="preserve"> jurídico</w:t>
      </w:r>
      <w:r w:rsidR="001E0D52" w:rsidRPr="00F90209">
        <w:rPr>
          <w:sz w:val="23"/>
          <w:szCs w:val="23"/>
        </w:rPr>
        <w:t>. Para tal, o estudo de impacte ambiental deve integrar</w:t>
      </w:r>
      <w:r w:rsidR="005C47CC" w:rsidRPr="00F90209">
        <w:rPr>
          <w:sz w:val="23"/>
          <w:szCs w:val="23"/>
        </w:rPr>
        <w:t xml:space="preserve"> os elementos indicados </w:t>
      </w:r>
      <w:r w:rsidR="00203FA1">
        <w:rPr>
          <w:sz w:val="23"/>
          <w:szCs w:val="23"/>
        </w:rPr>
        <w:t xml:space="preserve">nas </w:t>
      </w:r>
      <w:r w:rsidR="00203FA1" w:rsidRPr="00203FA1">
        <w:rPr>
          <w:i/>
          <w:sz w:val="23"/>
          <w:szCs w:val="23"/>
        </w:rPr>
        <w:t>Orientações para elaboração da Avaliação de Compatilidade de Localização</w:t>
      </w:r>
      <w:r w:rsidR="001E0D52" w:rsidRPr="00F90209">
        <w:rPr>
          <w:sz w:val="23"/>
          <w:szCs w:val="23"/>
        </w:rPr>
        <w:t xml:space="preserve">, </w:t>
      </w:r>
      <w:r w:rsidR="00203FA1">
        <w:rPr>
          <w:sz w:val="23"/>
          <w:szCs w:val="23"/>
        </w:rPr>
        <w:t>constantes do presente documento.</w:t>
      </w:r>
      <w:r w:rsidR="0050691C" w:rsidRPr="00F90209">
        <w:rPr>
          <w:sz w:val="23"/>
          <w:szCs w:val="23"/>
        </w:rPr>
        <w:t xml:space="preserve"> </w:t>
      </w:r>
    </w:p>
    <w:p w:rsidR="0050691C" w:rsidRPr="00F90209" w:rsidRDefault="005418FD" w:rsidP="0050691C">
      <w:pPr>
        <w:suppressAutoHyphens/>
        <w:spacing w:before="120" w:after="0" w:line="360" w:lineRule="auto"/>
        <w:jc w:val="both"/>
        <w:rPr>
          <w:bCs/>
          <w:sz w:val="23"/>
          <w:szCs w:val="23"/>
        </w:rPr>
      </w:pPr>
      <w:r w:rsidRPr="00F90209">
        <w:rPr>
          <w:sz w:val="23"/>
          <w:szCs w:val="23"/>
        </w:rPr>
        <w:lastRenderedPageBreak/>
        <w:t xml:space="preserve">A </w:t>
      </w:r>
      <w:r w:rsidR="00C46DAC" w:rsidRPr="00F90209">
        <w:rPr>
          <w:sz w:val="23"/>
          <w:szCs w:val="23"/>
        </w:rPr>
        <w:t xml:space="preserve">tomada de decisão sobre a localização do </w:t>
      </w:r>
      <w:r w:rsidRPr="00F90209">
        <w:rPr>
          <w:sz w:val="23"/>
          <w:szCs w:val="23"/>
        </w:rPr>
        <w:t xml:space="preserve">projeto do novo estabelecimento ou de alteração </w:t>
      </w:r>
      <w:r w:rsidR="001E0D52" w:rsidRPr="00F90209">
        <w:rPr>
          <w:sz w:val="23"/>
          <w:szCs w:val="23"/>
        </w:rPr>
        <w:t xml:space="preserve">tem </w:t>
      </w:r>
      <w:r w:rsidR="005C47CC" w:rsidRPr="00F90209">
        <w:rPr>
          <w:sz w:val="23"/>
          <w:szCs w:val="23"/>
        </w:rPr>
        <w:t>por base a avaliação d</w:t>
      </w:r>
      <w:r w:rsidR="00C46DAC" w:rsidRPr="00F90209">
        <w:rPr>
          <w:bCs/>
          <w:sz w:val="23"/>
          <w:szCs w:val="23"/>
        </w:rPr>
        <w:t xml:space="preserve">a compatibilidade entre as zonas de perigosidade </w:t>
      </w:r>
      <w:r w:rsidR="005C47CC" w:rsidRPr="00F90209">
        <w:rPr>
          <w:bCs/>
          <w:sz w:val="23"/>
          <w:szCs w:val="23"/>
        </w:rPr>
        <w:t xml:space="preserve">associadas ao estabelecimento </w:t>
      </w:r>
      <w:r w:rsidR="00C46DAC" w:rsidRPr="00F90209">
        <w:rPr>
          <w:bCs/>
          <w:sz w:val="23"/>
          <w:szCs w:val="23"/>
        </w:rPr>
        <w:t xml:space="preserve">e os elementos </w:t>
      </w:r>
      <w:r w:rsidR="005C47CC" w:rsidRPr="00F90209">
        <w:rPr>
          <w:bCs/>
          <w:sz w:val="23"/>
          <w:szCs w:val="23"/>
        </w:rPr>
        <w:t>construídos e os usos existentes e</w:t>
      </w:r>
      <w:r w:rsidR="001E0D52" w:rsidRPr="00F90209">
        <w:rPr>
          <w:bCs/>
          <w:sz w:val="23"/>
          <w:szCs w:val="23"/>
        </w:rPr>
        <w:t xml:space="preserve"> previstos em instrumentos de gestão do território na envolvente</w:t>
      </w:r>
      <w:r w:rsidR="006D7287" w:rsidRPr="00F90209">
        <w:rPr>
          <w:bCs/>
          <w:sz w:val="23"/>
          <w:szCs w:val="23"/>
        </w:rPr>
        <w:t xml:space="preserve"> do estabelecimento,</w:t>
      </w:r>
      <w:r w:rsidR="006D7287" w:rsidRPr="00F90209">
        <w:rPr>
          <w:color w:val="002060"/>
          <w:sz w:val="23"/>
          <w:szCs w:val="23"/>
        </w:rPr>
        <w:t xml:space="preserve"> </w:t>
      </w:r>
      <w:r w:rsidR="006D7287" w:rsidRPr="00F90209">
        <w:rPr>
          <w:bCs/>
          <w:sz w:val="23"/>
          <w:szCs w:val="23"/>
        </w:rPr>
        <w:t>no que concerne ao risco de acidentes graves envolvendo substâncias perigosas.</w:t>
      </w:r>
    </w:p>
    <w:p w:rsidR="005C47CC" w:rsidRPr="00F90209" w:rsidRDefault="005C47CC" w:rsidP="005C47CC">
      <w:pPr>
        <w:suppressAutoHyphens/>
        <w:spacing w:before="120" w:after="0" w:line="360" w:lineRule="auto"/>
        <w:jc w:val="both"/>
        <w:rPr>
          <w:sz w:val="23"/>
          <w:szCs w:val="23"/>
        </w:rPr>
      </w:pPr>
      <w:r w:rsidRPr="00F90209">
        <w:rPr>
          <w:sz w:val="23"/>
          <w:szCs w:val="23"/>
        </w:rPr>
        <w:t>No caso de projetos de estabelecimento ou de alteração que envolvam substâncias perigosas enquadradas nas categorias de perigo E1 e E2 da parte 1 do anexo I do Decreto-Lei n.º 150/2015, de 5 agosto, é também tida em consideração a existência de medidas de contenção que garantam a mitigação das consequências associadas à potencial libertação dessas substâncias perigosas.</w:t>
      </w:r>
    </w:p>
    <w:p w:rsidR="00744A68" w:rsidRPr="00FB7187" w:rsidRDefault="00744A68" w:rsidP="00744A68">
      <w:pPr>
        <w:suppressAutoHyphens/>
        <w:spacing w:before="120" w:after="0" w:line="360" w:lineRule="auto"/>
        <w:jc w:val="both"/>
        <w:rPr>
          <w:sz w:val="23"/>
          <w:szCs w:val="23"/>
        </w:rPr>
      </w:pPr>
      <w:r w:rsidRPr="00FB7187">
        <w:rPr>
          <w:sz w:val="23"/>
          <w:szCs w:val="23"/>
        </w:rPr>
        <w:t>Adicionalmente, a avaliação de compatibilidade de localização deverá permitir obter</w:t>
      </w:r>
      <w:r w:rsidR="002F010B">
        <w:rPr>
          <w:sz w:val="23"/>
          <w:szCs w:val="23"/>
        </w:rPr>
        <w:t>/rever</w:t>
      </w:r>
      <w:r w:rsidRPr="00FB7187">
        <w:rPr>
          <w:sz w:val="23"/>
          <w:szCs w:val="23"/>
        </w:rPr>
        <w:t xml:space="preserve"> as zonas de perigosidade associadas ao estabelecimento para efeitos de inclusão no cadastro de zonas de perigosidade previsto no referido regime legal. Para tal deverá o operador submeter a seguinte informação (consultar «Guia de orientação para a determinação das zonas de perigosidade» disponibilizado no sítio na internet da Agência Portuguesa do Ambiente, I.P.):</w:t>
      </w:r>
    </w:p>
    <w:p w:rsidR="00744A68" w:rsidRPr="00FB7187" w:rsidRDefault="00744A68" w:rsidP="00744A68">
      <w:pPr>
        <w:pStyle w:val="PargrafodaLista"/>
        <w:numPr>
          <w:ilvl w:val="0"/>
          <w:numId w:val="30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FB7187">
        <w:rPr>
          <w:sz w:val="23"/>
          <w:szCs w:val="23"/>
        </w:rPr>
        <w:t>Formulário de proposta de zonas de perigosidade;</w:t>
      </w:r>
    </w:p>
    <w:p w:rsidR="00744A68" w:rsidRPr="00FB7187" w:rsidRDefault="00744A68" w:rsidP="00744A68">
      <w:pPr>
        <w:pStyle w:val="PargrafodaLista"/>
        <w:numPr>
          <w:ilvl w:val="0"/>
          <w:numId w:val="30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FB7187">
        <w:rPr>
          <w:sz w:val="23"/>
          <w:szCs w:val="23"/>
        </w:rPr>
        <w:t>Ficheiros com a delimitação geográfica do estabelecimento e dos equipamentos associados aos cenários de acidente.</w:t>
      </w:r>
    </w:p>
    <w:p w:rsidR="00C54FA6" w:rsidRDefault="00C54FA6" w:rsidP="0050691C">
      <w:pPr>
        <w:suppressAutoHyphens/>
        <w:spacing w:before="120" w:after="0" w:line="360" w:lineRule="auto"/>
        <w:jc w:val="both"/>
        <w:rPr>
          <w:sz w:val="24"/>
          <w:szCs w:val="24"/>
        </w:rPr>
      </w:pPr>
    </w:p>
    <w:p w:rsidR="008C7653" w:rsidRDefault="008C7653" w:rsidP="0050691C">
      <w:pPr>
        <w:suppressAutoHyphens/>
        <w:spacing w:before="120" w:after="0" w:line="360" w:lineRule="auto"/>
        <w:jc w:val="both"/>
        <w:rPr>
          <w:sz w:val="24"/>
          <w:szCs w:val="24"/>
        </w:rPr>
      </w:pPr>
    </w:p>
    <w:p w:rsidR="00131801" w:rsidRDefault="00131801" w:rsidP="0050691C">
      <w:pPr>
        <w:suppressAutoHyphens/>
        <w:spacing w:before="120" w:after="0" w:line="360" w:lineRule="auto"/>
        <w:jc w:val="both"/>
        <w:rPr>
          <w:sz w:val="24"/>
          <w:szCs w:val="24"/>
        </w:rPr>
      </w:pPr>
    </w:p>
    <w:p w:rsidR="008C7653" w:rsidRDefault="008C7653" w:rsidP="0050691C">
      <w:pPr>
        <w:suppressAutoHyphens/>
        <w:spacing w:before="120" w:after="0" w:line="360" w:lineRule="auto"/>
        <w:jc w:val="both"/>
        <w:rPr>
          <w:sz w:val="24"/>
          <w:szCs w:val="24"/>
        </w:rPr>
      </w:pPr>
    </w:p>
    <w:p w:rsidR="00203FA1" w:rsidRDefault="00203FA1">
      <w:pPr>
        <w:rPr>
          <w:sz w:val="20"/>
          <w:szCs w:val="44"/>
        </w:rPr>
      </w:pPr>
      <w:r>
        <w:rPr>
          <w:sz w:val="20"/>
          <w:szCs w:val="44"/>
        </w:rPr>
        <w:br w:type="page"/>
      </w:r>
    </w:p>
    <w:p w:rsidR="00203FA1" w:rsidRPr="00203FA1" w:rsidRDefault="00203FA1" w:rsidP="00203FA1">
      <w:pPr>
        <w:jc w:val="right"/>
        <w:rPr>
          <w:b/>
          <w:color w:val="1F4E79" w:themeColor="accent1" w:themeShade="80"/>
          <w:sz w:val="28"/>
          <w:szCs w:val="28"/>
        </w:rPr>
      </w:pPr>
      <w:r w:rsidRPr="00203FA1">
        <w:rPr>
          <w:b/>
          <w:color w:val="1F4E79" w:themeColor="accent1" w:themeShade="80"/>
          <w:sz w:val="28"/>
          <w:szCs w:val="28"/>
        </w:rPr>
        <w:lastRenderedPageBreak/>
        <w:t xml:space="preserve">Formulário para requerimento de avaliação de compatibilidade de </w:t>
      </w:r>
      <w:r>
        <w:rPr>
          <w:b/>
          <w:color w:val="1F4E79" w:themeColor="accent1" w:themeShade="80"/>
          <w:sz w:val="28"/>
          <w:szCs w:val="28"/>
        </w:rPr>
        <w:t>l</w:t>
      </w:r>
      <w:r w:rsidRPr="00203FA1">
        <w:rPr>
          <w:b/>
          <w:color w:val="1F4E79" w:themeColor="accent1" w:themeShade="80"/>
          <w:sz w:val="28"/>
          <w:szCs w:val="28"/>
        </w:rPr>
        <w:t>ocalização</w:t>
      </w:r>
    </w:p>
    <w:p w:rsidR="00512B16" w:rsidRPr="00512B16" w:rsidRDefault="00512B16" w:rsidP="00512B16">
      <w:pPr>
        <w:tabs>
          <w:tab w:val="num" w:pos="-360"/>
          <w:tab w:val="num" w:pos="360"/>
          <w:tab w:val="num" w:pos="426"/>
          <w:tab w:val="left" w:pos="9214"/>
        </w:tabs>
        <w:spacing w:before="240" w:after="0" w:line="360" w:lineRule="auto"/>
        <w:jc w:val="both"/>
        <w:rPr>
          <w:rFonts w:ascii="Calibri" w:eastAsia="Times New Roman" w:hAnsi="Calibri" w:cs="Arial"/>
          <w:b/>
          <w:lang w:eastAsia="pt-PT"/>
        </w:rPr>
      </w:pPr>
      <w:r w:rsidRPr="00512B16">
        <w:rPr>
          <w:rFonts w:ascii="Calibri" w:eastAsia="Times New Roman" w:hAnsi="Calibri" w:cs="Arial"/>
          <w:b/>
          <w:lang w:eastAsia="pt-PT"/>
        </w:rPr>
        <w:t>Identificação do operador</w:t>
      </w:r>
    </w:p>
    <w:p w:rsidR="00512B16" w:rsidRPr="00512B16" w:rsidRDefault="00512B16" w:rsidP="002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-360"/>
          <w:tab w:val="num" w:pos="360"/>
          <w:tab w:val="num" w:pos="426"/>
          <w:tab w:val="left" w:pos="9214"/>
        </w:tabs>
        <w:spacing w:after="120" w:line="360" w:lineRule="auto"/>
        <w:jc w:val="both"/>
        <w:rPr>
          <w:rFonts w:ascii="Calibri" w:eastAsia="Times New Roman" w:hAnsi="Calibri" w:cs="Arial"/>
          <w:b/>
          <w:lang w:eastAsia="pt-PT"/>
        </w:rPr>
      </w:pPr>
    </w:p>
    <w:p w:rsidR="00512B16" w:rsidRPr="00512B16" w:rsidRDefault="00512B16" w:rsidP="00512B16">
      <w:pPr>
        <w:tabs>
          <w:tab w:val="num" w:pos="-360"/>
          <w:tab w:val="num" w:pos="360"/>
          <w:tab w:val="num" w:pos="426"/>
          <w:tab w:val="left" w:pos="9214"/>
        </w:tabs>
        <w:spacing w:before="240" w:after="0" w:line="360" w:lineRule="auto"/>
        <w:jc w:val="both"/>
        <w:rPr>
          <w:rFonts w:ascii="Calibri" w:eastAsia="Times New Roman" w:hAnsi="Calibri" w:cs="Arial"/>
          <w:b/>
          <w:lang w:eastAsia="pt-PT"/>
        </w:rPr>
      </w:pPr>
      <w:r w:rsidRPr="00512B16">
        <w:rPr>
          <w:rFonts w:ascii="Calibri" w:eastAsia="Times New Roman" w:hAnsi="Calibri" w:cs="Arial"/>
          <w:b/>
          <w:lang w:eastAsia="pt-PT"/>
        </w:rPr>
        <w:t>Identificação do estabelecimento</w:t>
      </w:r>
    </w:p>
    <w:p w:rsidR="00512B16" w:rsidRPr="00512B16" w:rsidRDefault="00512B16" w:rsidP="0051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360"/>
          <w:tab w:val="num" w:pos="360"/>
          <w:tab w:val="num" w:pos="426"/>
          <w:tab w:val="left" w:pos="9214"/>
        </w:tabs>
        <w:spacing w:after="120" w:line="360" w:lineRule="auto"/>
        <w:jc w:val="both"/>
        <w:rPr>
          <w:rFonts w:ascii="Calibri" w:eastAsia="Times New Roman" w:hAnsi="Calibri" w:cs="Arial"/>
          <w:b/>
          <w:lang w:eastAsia="pt-PT"/>
        </w:rPr>
      </w:pPr>
    </w:p>
    <w:p w:rsidR="00512B16" w:rsidRPr="00512B16" w:rsidRDefault="00512B16" w:rsidP="00512B16">
      <w:pPr>
        <w:tabs>
          <w:tab w:val="num" w:pos="426"/>
          <w:tab w:val="left" w:pos="9214"/>
        </w:tabs>
        <w:spacing w:before="120" w:after="0" w:line="240" w:lineRule="auto"/>
        <w:jc w:val="both"/>
        <w:rPr>
          <w:rFonts w:ascii="Calibri" w:eastAsia="Times New Roman" w:hAnsi="Calibri" w:cs="Arial"/>
          <w:b/>
          <w:lang w:eastAsia="pt-PT"/>
        </w:rPr>
      </w:pPr>
      <w:r w:rsidRPr="00512B16">
        <w:rPr>
          <w:rFonts w:ascii="Calibri" w:eastAsia="Times New Roman" w:hAnsi="Calibri" w:cs="Arial"/>
          <w:b/>
          <w:lang w:eastAsia="pt-PT"/>
        </w:rPr>
        <w:t xml:space="preserve">Enquadramento do estabelecimento no Decreto-Lei n.º 150/2015, de 5 de agosto </w:t>
      </w:r>
      <w:r w:rsidRPr="00512B16">
        <w:rPr>
          <w:rFonts w:ascii="Calibri" w:eastAsia="Times New Roman" w:hAnsi="Calibri" w:cs="Arial"/>
          <w:b/>
          <w:vertAlign w:val="superscript"/>
          <w:lang w:eastAsia="pt-PT"/>
        </w:rPr>
        <w:t>(</w:t>
      </w:r>
      <w:r w:rsidRPr="00512B16">
        <w:rPr>
          <w:rFonts w:ascii="Calibri" w:eastAsia="Times New Roman" w:hAnsi="Calibri" w:cs="Arial"/>
          <w:b/>
          <w:lang w:eastAsia="pt-PT"/>
        </w:rPr>
        <w:t>*</w:t>
      </w:r>
      <w:r w:rsidRPr="00512B16">
        <w:rPr>
          <w:rFonts w:ascii="Calibri" w:eastAsia="Times New Roman" w:hAnsi="Calibri" w:cs="Arial"/>
          <w:b/>
          <w:vertAlign w:val="superscript"/>
          <w:lang w:eastAsia="pt-PT"/>
        </w:rPr>
        <w:t>)</w:t>
      </w:r>
    </w:p>
    <w:p w:rsidR="00512B16" w:rsidRPr="00512B16" w:rsidRDefault="00512B16" w:rsidP="00512B16">
      <w:pPr>
        <w:tabs>
          <w:tab w:val="num" w:pos="426"/>
          <w:tab w:val="left" w:pos="9214"/>
        </w:tabs>
        <w:spacing w:before="4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512B16">
        <w:rPr>
          <w:rFonts w:ascii="Calibri" w:eastAsia="Times New Roman" w:hAnsi="Calibri" w:cs="Arial"/>
          <w:sz w:val="20"/>
          <w:szCs w:val="20"/>
          <w:lang w:eastAsia="pt-PT"/>
        </w:rPr>
        <w:t>* A avaliação do enquadramento do estabelecimento no regime de prevenção de acidentes graves deve ser prévia à apresentação do presente formulário.</w:t>
      </w:r>
    </w:p>
    <w:tbl>
      <w:tblPr>
        <w:tblStyle w:val="Tabelacomgrelha2"/>
        <w:tblW w:w="8755" w:type="dxa"/>
        <w:tblLook w:val="04A0" w:firstRow="1" w:lastRow="0" w:firstColumn="1" w:lastColumn="0" w:noHBand="0" w:noVBand="1"/>
      </w:tblPr>
      <w:tblGrid>
        <w:gridCol w:w="3936"/>
        <w:gridCol w:w="425"/>
        <w:gridCol w:w="3969"/>
        <w:gridCol w:w="425"/>
      </w:tblGrid>
      <w:tr w:rsidR="00512B16" w:rsidRPr="00512B16" w:rsidTr="0011445B">
        <w:tc>
          <w:tcPr>
            <w:tcW w:w="3936" w:type="dxa"/>
          </w:tcPr>
          <w:p w:rsidR="00512B16" w:rsidRPr="00512B16" w:rsidRDefault="003F09F2" w:rsidP="00512B16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Nível inferior </w:t>
            </w:r>
          </w:p>
        </w:tc>
        <w:tc>
          <w:tcPr>
            <w:tcW w:w="425" w:type="dxa"/>
          </w:tcPr>
          <w:p w:rsidR="00512B16" w:rsidRPr="00512B16" w:rsidRDefault="00512B16" w:rsidP="00512B16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512B16" w:rsidRPr="00512B16" w:rsidRDefault="003F09F2" w:rsidP="00512B16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Nível superior</w:t>
            </w:r>
          </w:p>
        </w:tc>
        <w:tc>
          <w:tcPr>
            <w:tcW w:w="425" w:type="dxa"/>
          </w:tcPr>
          <w:p w:rsidR="00512B16" w:rsidRPr="00512B16" w:rsidRDefault="00512B16" w:rsidP="00512B16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</w:tbl>
    <w:p w:rsidR="00512B16" w:rsidRPr="00512B16" w:rsidRDefault="00512B16" w:rsidP="00512B16">
      <w:pPr>
        <w:tabs>
          <w:tab w:val="num" w:pos="-360"/>
          <w:tab w:val="num" w:pos="360"/>
          <w:tab w:val="num" w:pos="426"/>
          <w:tab w:val="left" w:pos="9214"/>
        </w:tabs>
        <w:spacing w:before="240" w:after="0" w:line="360" w:lineRule="auto"/>
        <w:jc w:val="both"/>
        <w:rPr>
          <w:rFonts w:ascii="Calibri" w:eastAsia="Times New Roman" w:hAnsi="Calibri" w:cs="Arial"/>
          <w:b/>
          <w:lang w:eastAsia="pt-PT"/>
        </w:rPr>
      </w:pPr>
      <w:r w:rsidRPr="00512B16">
        <w:rPr>
          <w:rFonts w:ascii="Calibri" w:eastAsia="Times New Roman" w:hAnsi="Calibri" w:cs="Arial"/>
          <w:b/>
          <w:lang w:eastAsia="pt-PT"/>
        </w:rPr>
        <w:t xml:space="preserve">Descrição sumária do projeto de implantação de novo </w:t>
      </w:r>
      <w:r>
        <w:rPr>
          <w:rFonts w:ascii="Calibri" w:eastAsia="Times New Roman" w:hAnsi="Calibri" w:cs="Arial"/>
          <w:b/>
          <w:lang w:eastAsia="pt-PT"/>
        </w:rPr>
        <w:t>estabelecimento ou de</w:t>
      </w:r>
      <w:r w:rsidRPr="00512B16">
        <w:rPr>
          <w:rFonts w:ascii="Calibri" w:eastAsia="Times New Roman" w:hAnsi="Calibri" w:cs="Arial"/>
          <w:b/>
          <w:lang w:eastAsia="pt-PT"/>
        </w:rPr>
        <w:t xml:space="preserve"> alteração</w:t>
      </w:r>
    </w:p>
    <w:p w:rsidR="00512B16" w:rsidRPr="00512B16" w:rsidRDefault="00512B16" w:rsidP="008C7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-360"/>
          <w:tab w:val="num" w:pos="360"/>
          <w:tab w:val="num" w:pos="426"/>
          <w:tab w:val="left" w:pos="9214"/>
        </w:tabs>
        <w:spacing w:after="120" w:line="360" w:lineRule="auto"/>
        <w:jc w:val="both"/>
        <w:rPr>
          <w:rFonts w:ascii="Calibri" w:eastAsia="Times New Roman" w:hAnsi="Calibri" w:cs="Arial"/>
          <w:b/>
          <w:lang w:eastAsia="pt-PT"/>
        </w:rPr>
      </w:pPr>
    </w:p>
    <w:p w:rsidR="008E4458" w:rsidRDefault="008E4458" w:rsidP="008C7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-360"/>
          <w:tab w:val="num" w:pos="360"/>
          <w:tab w:val="num" w:pos="426"/>
          <w:tab w:val="left" w:pos="9214"/>
        </w:tabs>
        <w:spacing w:before="120" w:after="120" w:line="360" w:lineRule="auto"/>
        <w:jc w:val="both"/>
        <w:rPr>
          <w:rFonts w:ascii="Calibri" w:eastAsia="Times New Roman" w:hAnsi="Calibri" w:cs="Arial"/>
          <w:b/>
          <w:lang w:eastAsia="pt-PT"/>
        </w:rPr>
      </w:pPr>
    </w:p>
    <w:p w:rsidR="00512B16" w:rsidRPr="00512B16" w:rsidRDefault="00512B16" w:rsidP="00512B16">
      <w:pPr>
        <w:tabs>
          <w:tab w:val="num" w:pos="-360"/>
          <w:tab w:val="num" w:pos="360"/>
          <w:tab w:val="num" w:pos="426"/>
          <w:tab w:val="left" w:pos="9214"/>
        </w:tabs>
        <w:spacing w:before="240" w:after="0" w:line="360" w:lineRule="auto"/>
        <w:jc w:val="both"/>
        <w:rPr>
          <w:rFonts w:ascii="Calibri" w:eastAsia="Times New Roman" w:hAnsi="Calibri" w:cs="Arial"/>
          <w:b/>
          <w:lang w:eastAsia="pt-PT"/>
        </w:rPr>
      </w:pPr>
      <w:r w:rsidRPr="00512B16">
        <w:rPr>
          <w:rFonts w:ascii="Calibri" w:eastAsia="Times New Roman" w:hAnsi="Calibri" w:cs="Arial"/>
          <w:b/>
          <w:lang w:eastAsia="pt-PT"/>
        </w:rPr>
        <w:t>Resumo da conclusão da compatibilidade de localização do</w:t>
      </w:r>
      <w:r w:rsidR="00BB3625">
        <w:rPr>
          <w:rFonts w:ascii="Calibri" w:eastAsia="Times New Roman" w:hAnsi="Calibri" w:cs="Arial"/>
          <w:b/>
          <w:lang w:eastAsia="pt-PT"/>
        </w:rPr>
        <w:t xml:space="preserve"> projeto de implantação de novo </w:t>
      </w:r>
      <w:r>
        <w:rPr>
          <w:rFonts w:ascii="Calibri" w:eastAsia="Times New Roman" w:hAnsi="Calibri" w:cs="Arial"/>
          <w:b/>
          <w:lang w:eastAsia="pt-PT"/>
        </w:rPr>
        <w:t>estabelecimento ou de</w:t>
      </w:r>
      <w:r w:rsidRPr="00512B16">
        <w:rPr>
          <w:rFonts w:ascii="Calibri" w:eastAsia="Times New Roman" w:hAnsi="Calibri" w:cs="Arial"/>
          <w:b/>
          <w:lang w:eastAsia="pt-PT"/>
        </w:rPr>
        <w:t xml:space="preserve"> alteração com a envolvente, em termos de risco de acidente grave </w:t>
      </w:r>
    </w:p>
    <w:p w:rsidR="00512B16" w:rsidRDefault="00512B16" w:rsidP="0051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  <w:tab w:val="num" w:pos="360"/>
          <w:tab w:val="num" w:pos="426"/>
          <w:tab w:val="left" w:pos="9214"/>
        </w:tabs>
        <w:spacing w:before="120" w:after="120" w:line="360" w:lineRule="auto"/>
        <w:jc w:val="both"/>
        <w:rPr>
          <w:rFonts w:ascii="Calibri" w:eastAsia="Times New Roman" w:hAnsi="Calibri" w:cs="Arial"/>
          <w:b/>
          <w:lang w:eastAsia="pt-PT"/>
        </w:rPr>
      </w:pPr>
    </w:p>
    <w:p w:rsidR="008E4458" w:rsidRPr="00512B16" w:rsidRDefault="008E4458" w:rsidP="0051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  <w:tab w:val="num" w:pos="360"/>
          <w:tab w:val="num" w:pos="426"/>
          <w:tab w:val="left" w:pos="9214"/>
        </w:tabs>
        <w:spacing w:before="120" w:after="120" w:line="360" w:lineRule="auto"/>
        <w:jc w:val="both"/>
        <w:rPr>
          <w:rFonts w:ascii="Calibri" w:eastAsia="Times New Roman" w:hAnsi="Calibri" w:cs="Arial"/>
          <w:b/>
          <w:lang w:eastAsia="pt-PT"/>
        </w:rPr>
      </w:pPr>
    </w:p>
    <w:p w:rsidR="00512B16" w:rsidRDefault="008C7653" w:rsidP="00512B16">
      <w:pPr>
        <w:tabs>
          <w:tab w:val="num" w:pos="426"/>
          <w:tab w:val="left" w:pos="9214"/>
        </w:tabs>
        <w:spacing w:after="0" w:line="360" w:lineRule="auto"/>
        <w:jc w:val="both"/>
        <w:rPr>
          <w:rFonts w:ascii="Calibri" w:eastAsia="Times New Roman" w:hAnsi="Calibri" w:cs="Arial"/>
          <w:b/>
          <w:lang w:eastAsia="pt-PT"/>
        </w:rPr>
      </w:pPr>
      <w:r>
        <w:rPr>
          <w:rFonts w:ascii="Calibri" w:eastAsia="Times New Roman" w:hAnsi="Calibri" w:cs="Arial"/>
          <w:b/>
          <w:lang w:eastAsia="pt-PT"/>
        </w:rPr>
        <w:t>Documentos a remeter em anexo</w:t>
      </w:r>
      <w:r w:rsidR="00CF0785">
        <w:rPr>
          <w:rFonts w:ascii="Calibri" w:eastAsia="Times New Roman" w:hAnsi="Calibri" w:cs="Arial"/>
          <w:b/>
          <w:lang w:eastAsia="pt-PT"/>
        </w:rPr>
        <w:t>:</w:t>
      </w:r>
    </w:p>
    <w:tbl>
      <w:tblPr>
        <w:tblStyle w:val="Tabelacomgrelha2"/>
        <w:tblW w:w="8755" w:type="dxa"/>
        <w:tblLook w:val="04A0" w:firstRow="1" w:lastRow="0" w:firstColumn="1" w:lastColumn="0" w:noHBand="0" w:noVBand="1"/>
      </w:tblPr>
      <w:tblGrid>
        <w:gridCol w:w="8359"/>
        <w:gridCol w:w="396"/>
      </w:tblGrid>
      <w:tr w:rsidR="008C7653" w:rsidRPr="00512B16" w:rsidTr="00CF0785">
        <w:tc>
          <w:tcPr>
            <w:tcW w:w="8359" w:type="dxa"/>
          </w:tcPr>
          <w:p w:rsidR="008C7653" w:rsidRPr="00512B16" w:rsidRDefault="008C7653" w:rsidP="008C7653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Estudo de Avalia</w:t>
            </w:r>
            <w:r w:rsidR="002F010B">
              <w:rPr>
                <w:rFonts w:ascii="Calibri" w:hAnsi="Calibri" w:cs="Arial"/>
              </w:rPr>
              <w:t>ção de Compatibilidade de Localização</w:t>
            </w:r>
            <w:r w:rsidR="00203FA1">
              <w:rPr>
                <w:rFonts w:ascii="Calibri" w:hAnsi="Calibri" w:cs="Arial"/>
              </w:rPr>
              <w:t>*</w:t>
            </w:r>
          </w:p>
        </w:tc>
        <w:tc>
          <w:tcPr>
            <w:tcW w:w="396" w:type="dxa"/>
          </w:tcPr>
          <w:p w:rsidR="008C7653" w:rsidRPr="00512B16" w:rsidRDefault="008C7653" w:rsidP="008C7653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8C7653" w:rsidRPr="00512B16" w:rsidTr="00CF0785">
        <w:tc>
          <w:tcPr>
            <w:tcW w:w="8359" w:type="dxa"/>
          </w:tcPr>
          <w:p w:rsidR="008C7653" w:rsidRPr="00512B16" w:rsidRDefault="008C7653" w:rsidP="00CF0785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FB7187">
              <w:rPr>
                <w:sz w:val="23"/>
                <w:szCs w:val="23"/>
              </w:rPr>
              <w:t>Formulário de proposta de zonas de perigosidade</w:t>
            </w:r>
            <w:r w:rsidR="00CF078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" w:type="dxa"/>
          </w:tcPr>
          <w:p w:rsidR="008C7653" w:rsidRPr="00512B16" w:rsidRDefault="008C7653" w:rsidP="008C7653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8C7653" w:rsidRPr="00512B16" w:rsidTr="00CF0785">
        <w:tc>
          <w:tcPr>
            <w:tcW w:w="8359" w:type="dxa"/>
          </w:tcPr>
          <w:p w:rsidR="008C7653" w:rsidRPr="00512B16" w:rsidRDefault="008C7653" w:rsidP="00CF0785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FB7187">
              <w:rPr>
                <w:sz w:val="23"/>
                <w:szCs w:val="23"/>
              </w:rPr>
              <w:t>Ficheiros com a delimitação geográfica</w:t>
            </w:r>
            <w:r w:rsidR="00CF0785">
              <w:rPr>
                <w:sz w:val="23"/>
                <w:szCs w:val="23"/>
              </w:rPr>
              <w:t xml:space="preserve"> </w:t>
            </w:r>
            <w:r w:rsidR="00CF0785" w:rsidRPr="00FB7187">
              <w:rPr>
                <w:sz w:val="23"/>
                <w:szCs w:val="23"/>
              </w:rPr>
              <w:t>do estabelecimento e dos equipamentos associados aos cenários de acidente</w:t>
            </w:r>
            <w:r w:rsidR="00CF0785" w:rsidRPr="008C7653">
              <w:rPr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396" w:type="dxa"/>
          </w:tcPr>
          <w:p w:rsidR="008C7653" w:rsidRPr="00512B16" w:rsidRDefault="008C7653" w:rsidP="008C7653">
            <w:pPr>
              <w:tabs>
                <w:tab w:val="num" w:pos="426"/>
                <w:tab w:val="left" w:pos="9214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</w:tbl>
    <w:p w:rsidR="002F010B" w:rsidRPr="00203FA1" w:rsidRDefault="00203FA1" w:rsidP="00203FA1">
      <w:pPr>
        <w:tabs>
          <w:tab w:val="num" w:pos="426"/>
          <w:tab w:val="left" w:pos="9214"/>
        </w:tabs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pt-PT"/>
        </w:rPr>
      </w:pPr>
      <w:r>
        <w:rPr>
          <w:rFonts w:ascii="Calibri" w:eastAsia="Times New Roman" w:hAnsi="Calibri" w:cs="Arial"/>
          <w:sz w:val="18"/>
          <w:szCs w:val="18"/>
          <w:lang w:eastAsia="pt-PT"/>
        </w:rPr>
        <w:t>* Segundo as orientações para elaboração do estudo de</w:t>
      </w:r>
      <w:r w:rsidRPr="00203FA1">
        <w:rPr>
          <w:rFonts w:ascii="Calibri" w:eastAsia="Times New Roman" w:hAnsi="Calibri" w:cs="Arial"/>
          <w:sz w:val="18"/>
          <w:szCs w:val="18"/>
          <w:lang w:eastAsia="pt-PT"/>
        </w:rPr>
        <w:t xml:space="preserve"> Avaliação de Compatilidade de Localização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6116"/>
      </w:tblGrid>
      <w:tr w:rsidR="00512B16" w:rsidRPr="00512B16" w:rsidTr="00CF0785">
        <w:tc>
          <w:tcPr>
            <w:tcW w:w="2598" w:type="dxa"/>
            <w:tcBorders>
              <w:top w:val="nil"/>
              <w:left w:val="nil"/>
              <w:bottom w:val="nil"/>
            </w:tcBorders>
            <w:vAlign w:val="center"/>
          </w:tcPr>
          <w:p w:rsidR="00512B16" w:rsidRPr="009F0D44" w:rsidRDefault="00512B16" w:rsidP="00CF0785">
            <w:pPr>
              <w:tabs>
                <w:tab w:val="left" w:pos="101"/>
              </w:tabs>
              <w:spacing w:after="0" w:line="240" w:lineRule="auto"/>
              <w:ind w:left="286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9F0D44">
              <w:rPr>
                <w:rFonts w:ascii="Calibri" w:eastAsia="Times New Roman" w:hAnsi="Calibri" w:cs="Times New Roman"/>
                <w:lang w:eastAsia="pt-PT"/>
              </w:rPr>
              <w:t>Assinatura do responsável pelo estabelecimento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vAlign w:val="center"/>
          </w:tcPr>
          <w:p w:rsidR="00512B16" w:rsidRPr="00512B16" w:rsidRDefault="00512B16" w:rsidP="00512B16">
            <w:pPr>
              <w:tabs>
                <w:tab w:val="left" w:pos="101"/>
              </w:tabs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</w:p>
        </w:tc>
      </w:tr>
      <w:tr w:rsidR="00512B16" w:rsidRPr="00512B16" w:rsidTr="00CF0785">
        <w:trPr>
          <w:trHeight w:hRule="exact" w:val="170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B16" w:rsidRPr="009F0D44" w:rsidRDefault="00512B16" w:rsidP="00CF0785">
            <w:pPr>
              <w:tabs>
                <w:tab w:val="left" w:pos="101"/>
              </w:tabs>
              <w:spacing w:after="200" w:line="276" w:lineRule="auto"/>
              <w:ind w:left="286"/>
              <w:jc w:val="right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B16" w:rsidRPr="00512B16" w:rsidRDefault="00512B16" w:rsidP="00512B16">
            <w:pPr>
              <w:tabs>
                <w:tab w:val="left" w:pos="101"/>
              </w:tabs>
              <w:spacing w:after="200" w:line="276" w:lineRule="auto"/>
              <w:ind w:left="-70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</w:p>
        </w:tc>
      </w:tr>
      <w:tr w:rsidR="00512B16" w:rsidRPr="00512B16" w:rsidTr="00CF0785">
        <w:tc>
          <w:tcPr>
            <w:tcW w:w="2598" w:type="dxa"/>
            <w:tcBorders>
              <w:top w:val="nil"/>
              <w:left w:val="nil"/>
              <w:bottom w:val="nil"/>
            </w:tcBorders>
            <w:vAlign w:val="center"/>
          </w:tcPr>
          <w:p w:rsidR="00512B16" w:rsidRPr="009F0D44" w:rsidRDefault="00512B16" w:rsidP="00CF0785">
            <w:pPr>
              <w:tabs>
                <w:tab w:val="left" w:pos="101"/>
              </w:tabs>
              <w:spacing w:after="200" w:line="276" w:lineRule="auto"/>
              <w:ind w:left="286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9F0D44">
              <w:rPr>
                <w:rFonts w:ascii="Calibri" w:eastAsia="Times New Roman" w:hAnsi="Calibri" w:cs="Times New Roman"/>
                <w:lang w:eastAsia="pt-PT"/>
              </w:rPr>
              <w:t>Nome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16" w:rsidRPr="00512B16" w:rsidRDefault="00512B16" w:rsidP="009F0D44">
            <w:pPr>
              <w:tabs>
                <w:tab w:val="left" w:pos="101"/>
              </w:tabs>
              <w:spacing w:after="0" w:line="276" w:lineRule="auto"/>
              <w:ind w:left="-68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</w:p>
        </w:tc>
      </w:tr>
      <w:tr w:rsidR="00512B16" w:rsidRPr="00512B16" w:rsidTr="00CF0785">
        <w:trPr>
          <w:trHeight w:hRule="exact" w:val="170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B16" w:rsidRPr="009F0D44" w:rsidRDefault="00512B16" w:rsidP="00CF0785">
            <w:pPr>
              <w:tabs>
                <w:tab w:val="left" w:pos="101"/>
              </w:tabs>
              <w:spacing w:after="200" w:line="276" w:lineRule="auto"/>
              <w:ind w:left="286"/>
              <w:jc w:val="right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B16" w:rsidRPr="00512B16" w:rsidRDefault="00512B16" w:rsidP="009F0D44">
            <w:pPr>
              <w:tabs>
                <w:tab w:val="left" w:pos="101"/>
              </w:tabs>
              <w:spacing w:after="0" w:line="276" w:lineRule="auto"/>
              <w:ind w:left="-68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</w:p>
        </w:tc>
      </w:tr>
      <w:tr w:rsidR="00512B16" w:rsidRPr="00512B16" w:rsidTr="009F0D44">
        <w:trPr>
          <w:trHeight w:val="219"/>
        </w:trPr>
        <w:tc>
          <w:tcPr>
            <w:tcW w:w="2598" w:type="dxa"/>
            <w:tcBorders>
              <w:top w:val="nil"/>
              <w:left w:val="nil"/>
              <w:bottom w:val="nil"/>
            </w:tcBorders>
            <w:vAlign w:val="center"/>
          </w:tcPr>
          <w:p w:rsidR="00512B16" w:rsidRPr="009F0D44" w:rsidRDefault="00512B16" w:rsidP="00CF0785">
            <w:pPr>
              <w:tabs>
                <w:tab w:val="left" w:pos="101"/>
              </w:tabs>
              <w:spacing w:after="200" w:line="276" w:lineRule="auto"/>
              <w:ind w:left="286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9F0D44">
              <w:rPr>
                <w:rFonts w:ascii="Calibri" w:eastAsia="Times New Roman" w:hAnsi="Calibri" w:cs="Times New Roman"/>
                <w:lang w:eastAsia="pt-PT"/>
              </w:rPr>
              <w:t>Data</w:t>
            </w:r>
          </w:p>
        </w:tc>
        <w:tc>
          <w:tcPr>
            <w:tcW w:w="6116" w:type="dxa"/>
            <w:tcBorders>
              <w:top w:val="single" w:sz="4" w:space="0" w:color="auto"/>
            </w:tcBorders>
            <w:vAlign w:val="center"/>
          </w:tcPr>
          <w:p w:rsidR="00512B16" w:rsidRPr="00512B16" w:rsidRDefault="00512B16" w:rsidP="009F0D44">
            <w:pPr>
              <w:tabs>
                <w:tab w:val="left" w:pos="101"/>
              </w:tabs>
              <w:spacing w:after="0" w:line="240" w:lineRule="auto"/>
              <w:ind w:left="-68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</w:pPr>
          </w:p>
        </w:tc>
      </w:tr>
    </w:tbl>
    <w:p w:rsidR="00203FA1" w:rsidRDefault="00203FA1" w:rsidP="005226E6">
      <w:pPr>
        <w:jc w:val="right"/>
        <w:rPr>
          <w:b/>
          <w:color w:val="1F4E79" w:themeColor="accent1" w:themeShade="80"/>
          <w:sz w:val="28"/>
          <w:szCs w:val="28"/>
        </w:rPr>
      </w:pPr>
    </w:p>
    <w:p w:rsidR="00EC3D80" w:rsidRDefault="00203FA1" w:rsidP="00203FA1">
      <w:pPr>
        <w:spacing w:after="240"/>
        <w:jc w:val="right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br w:type="page"/>
      </w:r>
      <w:r>
        <w:rPr>
          <w:b/>
          <w:color w:val="1F4E79" w:themeColor="accent1" w:themeShade="80"/>
          <w:sz w:val="28"/>
          <w:szCs w:val="28"/>
        </w:rPr>
        <w:lastRenderedPageBreak/>
        <w:t>Orientações para elaboração do estudo de</w:t>
      </w:r>
      <w:r w:rsidR="004F72A8" w:rsidRPr="005226E6">
        <w:rPr>
          <w:b/>
          <w:color w:val="1F4E79" w:themeColor="accent1" w:themeShade="80"/>
          <w:sz w:val="28"/>
          <w:szCs w:val="28"/>
        </w:rPr>
        <w:t xml:space="preserve"> Avaliação de Compatilidade de</w:t>
      </w:r>
      <w:r w:rsidR="008C7653" w:rsidRPr="005226E6">
        <w:rPr>
          <w:b/>
          <w:color w:val="1F4E79" w:themeColor="accent1" w:themeShade="80"/>
          <w:sz w:val="28"/>
          <w:szCs w:val="28"/>
        </w:rPr>
        <w:t xml:space="preserve"> </w:t>
      </w:r>
      <w:r w:rsidR="004F72A8" w:rsidRPr="005226E6">
        <w:rPr>
          <w:b/>
          <w:color w:val="1F4E79" w:themeColor="accent1" w:themeShade="80"/>
          <w:sz w:val="28"/>
          <w:szCs w:val="28"/>
        </w:rPr>
        <w:t>Localização</w:t>
      </w:r>
    </w:p>
    <w:bookmarkStart w:id="1" w:name="_Toc310603836"/>
    <w:p w:rsidR="00263A68" w:rsidRPr="008E4458" w:rsidRDefault="008E4458" w:rsidP="008E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426"/>
          <w:tab w:val="left" w:pos="9214"/>
        </w:tabs>
        <w:spacing w:after="0" w:line="240" w:lineRule="auto"/>
        <w:jc w:val="both"/>
        <w:outlineLvl w:val="0"/>
        <w:rPr>
          <w:rFonts w:ascii="Calibri" w:eastAsia="Times New Roman" w:hAnsi="Calibri" w:cs="Arial"/>
          <w:b/>
          <w:lang w:eastAsia="pt-PT"/>
        </w:rPr>
      </w:pPr>
      <w:r w:rsidRPr="00F65129">
        <w:rPr>
          <w:rFonts w:ascii="Times New Roman" w:eastAsia="Times New Roman" w:hAnsi="Times New Roman" w:cs="Arial"/>
          <w:b/>
          <w:noProof/>
          <w:sz w:val="24"/>
          <w:szCs w:val="20"/>
          <w:u w:val="single"/>
          <w:lang w:eastAsia="pt-PT"/>
        </w:rPr>
        <mc:AlternateContent>
          <mc:Choice Requires="wps">
            <w:drawing>
              <wp:anchor distT="71755" distB="71755" distL="114300" distR="114300" simplePos="0" relativeHeight="251659264" behindDoc="1" locked="0" layoutInCell="1" allowOverlap="1" wp14:anchorId="4350D573" wp14:editId="57F527D1">
                <wp:simplePos x="0" y="0"/>
                <wp:positionH relativeFrom="margin">
                  <wp:posOffset>-2540</wp:posOffset>
                </wp:positionH>
                <wp:positionV relativeFrom="paragraph">
                  <wp:posOffset>361950</wp:posOffset>
                </wp:positionV>
                <wp:extent cx="5601970" cy="771525"/>
                <wp:effectExtent l="0" t="0" r="0" b="9525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7715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9D" w:rsidRPr="00F65129" w:rsidRDefault="00C0409D" w:rsidP="00F6512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F65129"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  <w:t>Considera-se como «substância</w:t>
                            </w:r>
                            <w:r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129"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  <w:t>perigosa», a substâncias ou mistura abrangida pela parte 1 ou enumerada na parte 2 do anexo I do Decreto-Lei n.º 150/2015, de 5 de agosto, incluindo na forma de matéria-prima, produto, subproduto, resíduo ou produto intermédio.</w:t>
                            </w:r>
                          </w:p>
                          <w:p w:rsidR="00C0409D" w:rsidRPr="00F65129" w:rsidRDefault="00C0409D" w:rsidP="00F65129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F65129"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  <w:t xml:space="preserve">(de </w:t>
                            </w:r>
                            <w:r w:rsidRPr="00F65129">
                              <w:rPr>
                                <w:rFonts w:ascii="Calibri" w:hAnsi="Calibri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>Decreto-Lei n.º 150/2015, de 5 de agosto</w:t>
                            </w:r>
                            <w:r w:rsidRPr="00F65129"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0409D" w:rsidRDefault="00C0409D" w:rsidP="00F65129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0D5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2pt;margin-top:28.5pt;width:441.1pt;height:60.75pt;z-index:-25165721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" fillcolor="#e6e6e6" stroked="f">
                <v:textbox>
                  <w:txbxContent>
                    <w:p w:rsidR="00C0409D" w:rsidRPr="00F65129" w:rsidRDefault="00C0409D" w:rsidP="00F65129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</w:pPr>
                      <w:r w:rsidRPr="00F65129"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  <w:t>Considera-se como «substância</w:t>
                      </w:r>
                      <w:r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65129"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  <w:t>perigosa», a substâncias ou mistura abrangida pela parte 1 ou enumerada na parte 2 do anexo I do Decreto-Lei n.º 150/2015, de 5 de agosto, incluindo na forma de matéria-prima, produto, subproduto, resíduo ou produto intermédio.</w:t>
                      </w:r>
                    </w:p>
                    <w:p w:rsidR="00C0409D" w:rsidRPr="00F65129" w:rsidRDefault="00C0409D" w:rsidP="00F65129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</w:pPr>
                      <w:r w:rsidRPr="00F65129"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  <w:t xml:space="preserve">(de </w:t>
                      </w:r>
                      <w:r w:rsidRPr="00F65129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>Decreto-Lei n.º 150/2015, de 5 de agosto</w:t>
                      </w:r>
                      <w:r w:rsidRPr="00F65129"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  <w:t>)</w:t>
                      </w:r>
                    </w:p>
                    <w:p w:rsidR="00C0409D" w:rsidRDefault="00C0409D" w:rsidP="00F65129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5129" w:rsidRPr="00F65129">
        <w:rPr>
          <w:rFonts w:ascii="Calibri" w:eastAsia="Times New Roman" w:hAnsi="Calibri" w:cs="Arial"/>
          <w:b/>
          <w:lang w:eastAsia="pt-PT"/>
        </w:rPr>
        <w:t xml:space="preserve">1. </w:t>
      </w:r>
      <w:r w:rsidR="008A515F">
        <w:rPr>
          <w:rFonts w:ascii="Calibri" w:eastAsia="Times New Roman" w:hAnsi="Calibri" w:cs="Arial"/>
          <w:b/>
          <w:lang w:eastAsia="pt-PT"/>
        </w:rPr>
        <w:t>Carac</w:t>
      </w:r>
      <w:r w:rsidR="00F65129" w:rsidRPr="00F65129">
        <w:rPr>
          <w:rFonts w:ascii="Calibri" w:eastAsia="Times New Roman" w:hAnsi="Calibri" w:cs="Arial"/>
          <w:b/>
          <w:lang w:eastAsia="pt-PT"/>
        </w:rPr>
        <w:t>terização do estabelecimento</w:t>
      </w:r>
      <w:bookmarkEnd w:id="1"/>
      <w:r w:rsidR="00F65129" w:rsidRPr="00F65129">
        <w:rPr>
          <w:rFonts w:ascii="Calibri" w:eastAsia="Times New Roman" w:hAnsi="Calibri" w:cs="Arial"/>
          <w:b/>
          <w:lang w:eastAsia="pt-PT"/>
        </w:rPr>
        <w:t xml:space="preserve"> </w:t>
      </w:r>
      <w:r w:rsidR="00263A68">
        <w:rPr>
          <w:rFonts w:ascii="Calibri" w:eastAsia="Times New Roman" w:hAnsi="Calibri" w:cs="Arial"/>
          <w:b/>
          <w:lang w:eastAsia="pt-PT"/>
        </w:rPr>
        <w:t>ou da alteração</w:t>
      </w:r>
    </w:p>
    <w:p w:rsidR="00F65129" w:rsidRPr="0030455D" w:rsidRDefault="00263A68" w:rsidP="0030455D">
      <w:pPr>
        <w:numPr>
          <w:ilvl w:val="0"/>
          <w:numId w:val="15"/>
        </w:numPr>
        <w:spacing w:before="240" w:after="120" w:line="360" w:lineRule="auto"/>
        <w:ind w:left="426" w:hanging="284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30455D">
        <w:rPr>
          <w:rFonts w:ascii="Calibri" w:eastAsia="Times New Roman" w:hAnsi="Calibri" w:cs="Arial"/>
          <w:noProof/>
          <w:lang w:eastAsia="pt-PT"/>
        </w:rPr>
        <w:t>Informação sobre</w:t>
      </w:r>
      <w:r w:rsidR="00BA2738" w:rsidRPr="0030455D">
        <w:rPr>
          <w:rFonts w:ascii="Calibri" w:eastAsia="Times New Roman" w:hAnsi="Calibri" w:cs="Arial"/>
          <w:noProof/>
          <w:lang w:eastAsia="pt-PT"/>
        </w:rPr>
        <w:t xml:space="preserve"> as substâncias perigosas</w:t>
      </w:r>
      <w:r w:rsidRPr="0030455D">
        <w:rPr>
          <w:rFonts w:ascii="Calibri" w:eastAsia="Times New Roman" w:hAnsi="Calibri" w:cs="Arial"/>
          <w:noProof/>
          <w:lang w:eastAsia="pt-PT"/>
        </w:rPr>
        <w:t xml:space="preserve"> presentes no estabelecimento, incluindo o inventário, a descrição do equipamento onde estão presentes e condições de pressão e temperatura da armazenagem/processo e respetiva localização em planta do estabelecimento. </w:t>
      </w:r>
      <w:r w:rsidR="0011445B" w:rsidRPr="0030455D">
        <w:rPr>
          <w:rFonts w:ascii="Calibri" w:eastAsia="Times New Roman" w:hAnsi="Calibri" w:cs="Times New Roman"/>
          <w:noProof/>
          <w:lang w:eastAsia="pt-PT"/>
        </w:rPr>
        <w:t>Poderá sistematizar a informação da seguinte forma:</w:t>
      </w:r>
    </w:p>
    <w:tbl>
      <w:tblPr>
        <w:tblStyle w:val="Tabelacomgrelha3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276"/>
        <w:gridCol w:w="1388"/>
        <w:gridCol w:w="1336"/>
      </w:tblGrid>
      <w:tr w:rsidR="00F65129" w:rsidRPr="00F65129" w:rsidTr="00B338C9">
        <w:tc>
          <w:tcPr>
            <w:tcW w:w="226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 xml:space="preserve">Equipamento  </w:t>
            </w:r>
          </w:p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 xml:space="preserve">(tipologia, volume útil e indicação de n.º de equipamentos semelhantes </w:t>
            </w:r>
          </w:p>
        </w:tc>
        <w:tc>
          <w:tcPr>
            <w:tcW w:w="1134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Identificação em planta</w:t>
            </w:r>
          </w:p>
        </w:tc>
        <w:tc>
          <w:tcPr>
            <w:tcW w:w="141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Condições</w:t>
            </w:r>
          </w:p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(Pressão e Temperatura)</w:t>
            </w:r>
          </w:p>
        </w:tc>
        <w:tc>
          <w:tcPr>
            <w:tcW w:w="1276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«Substância perigosa»</w:t>
            </w:r>
          </w:p>
        </w:tc>
        <w:tc>
          <w:tcPr>
            <w:tcW w:w="138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Categorias de perigo/</w:t>
            </w:r>
          </w:p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Substância designada</w:t>
            </w:r>
          </w:p>
        </w:tc>
        <w:tc>
          <w:tcPr>
            <w:tcW w:w="1336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Quantidade</w:t>
            </w:r>
          </w:p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(tonelada)</w:t>
            </w:r>
          </w:p>
        </w:tc>
      </w:tr>
      <w:tr w:rsidR="00F65129" w:rsidRPr="00F65129" w:rsidTr="00B338C9">
        <w:tc>
          <w:tcPr>
            <w:tcW w:w="226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  <w:r w:rsidRPr="00F65129">
              <w:rPr>
                <w:rFonts w:ascii="Calibri" w:hAnsi="Calibri" w:cs="Arial"/>
                <w:i/>
                <w:sz w:val="19"/>
                <w:szCs w:val="19"/>
              </w:rPr>
              <w:t>Equipamento 1</w:t>
            </w:r>
          </w:p>
        </w:tc>
        <w:tc>
          <w:tcPr>
            <w:tcW w:w="1134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38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336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F65129" w:rsidRPr="00F65129" w:rsidTr="00B338C9">
        <w:tc>
          <w:tcPr>
            <w:tcW w:w="226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F65129">
              <w:rPr>
                <w:rFonts w:ascii="Calibri" w:hAnsi="Calibri" w:cs="Arial"/>
                <w:sz w:val="19"/>
                <w:szCs w:val="19"/>
              </w:rPr>
              <w:t>…</w:t>
            </w:r>
          </w:p>
        </w:tc>
        <w:tc>
          <w:tcPr>
            <w:tcW w:w="1134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388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336" w:type="dxa"/>
            <w:vAlign w:val="center"/>
          </w:tcPr>
          <w:p w:rsidR="00F65129" w:rsidRPr="00F65129" w:rsidRDefault="00F65129" w:rsidP="00F65129">
            <w:pPr>
              <w:spacing w:before="40" w:after="40" w:line="276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:rsidR="00263A68" w:rsidRDefault="00263A68" w:rsidP="00263A68">
      <w:pPr>
        <w:spacing w:before="240" w:after="120" w:line="360" w:lineRule="auto"/>
        <w:ind w:left="426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</w:p>
    <w:p w:rsidR="00F65129" w:rsidRPr="00F65129" w:rsidRDefault="00F65129" w:rsidP="008A515F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F65129">
        <w:rPr>
          <w:rFonts w:ascii="Calibri" w:eastAsia="Times New Roman" w:hAnsi="Calibri" w:cs="Times New Roman"/>
          <w:noProof/>
          <w:lang w:eastAsia="pt-PT"/>
        </w:rPr>
        <w:t>Descrição das atividades, incluindo as rela</w:t>
      </w:r>
      <w:r w:rsidR="00BA2738">
        <w:rPr>
          <w:rFonts w:ascii="Calibri" w:eastAsia="Times New Roman" w:hAnsi="Calibri" w:cs="Times New Roman"/>
          <w:noProof/>
          <w:lang w:eastAsia="pt-PT"/>
        </w:rPr>
        <w:t>cionadas com a movimentação de substâncias perigosas</w:t>
      </w:r>
      <w:r w:rsidRPr="00F65129">
        <w:rPr>
          <w:rFonts w:ascii="Calibri" w:eastAsia="Times New Roman" w:hAnsi="Calibri" w:cs="Times New Roman"/>
          <w:noProof/>
          <w:lang w:eastAsia="pt-PT"/>
        </w:rPr>
        <w:t>.</w:t>
      </w:r>
    </w:p>
    <w:p w:rsidR="00F65129" w:rsidRPr="00F65129" w:rsidRDefault="00F65129" w:rsidP="008A515F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F65129">
        <w:rPr>
          <w:rFonts w:ascii="Calibri" w:eastAsia="Times New Roman" w:hAnsi="Calibri" w:cs="Times New Roman"/>
          <w:noProof/>
          <w:lang w:eastAsia="pt-PT"/>
        </w:rPr>
        <w:t xml:space="preserve">Informação sobre as medidas de prevenção e mitigação e descrição da sua forma </w:t>
      </w:r>
      <w:r w:rsidR="00263A68">
        <w:rPr>
          <w:rFonts w:ascii="Calibri" w:eastAsia="Times New Roman" w:hAnsi="Calibri" w:cs="Times New Roman"/>
          <w:noProof/>
          <w:lang w:eastAsia="pt-PT"/>
        </w:rPr>
        <w:t>de a</w:t>
      </w:r>
      <w:r w:rsidRPr="00F65129">
        <w:rPr>
          <w:rFonts w:ascii="Calibri" w:eastAsia="Times New Roman" w:hAnsi="Calibri" w:cs="Times New Roman"/>
          <w:noProof/>
          <w:lang w:eastAsia="pt-PT"/>
        </w:rPr>
        <w:t xml:space="preserve">tuação. </w:t>
      </w:r>
    </w:p>
    <w:p w:rsidR="00F65129" w:rsidRDefault="00F65129" w:rsidP="008A515F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F65129">
        <w:rPr>
          <w:rFonts w:ascii="Calibri" w:eastAsia="Times New Roman" w:hAnsi="Calibri" w:cs="Times New Roman"/>
          <w:noProof/>
          <w:lang w:eastAsia="pt-PT"/>
        </w:rPr>
        <w:t>Informação sobre as medidas de contenção de derrames, indicando os equipamentos a que estão  associadas, capacidades, características construtivas, tipo de impermeabilização e correspondente rede de drenagem.</w:t>
      </w:r>
    </w:p>
    <w:p w:rsidR="00BA2738" w:rsidRDefault="0011445B" w:rsidP="0011445B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F53C9">
        <w:rPr>
          <w:rFonts w:ascii="Calibri" w:eastAsia="Times New Roman" w:hAnsi="Calibri" w:cs="Times New Roman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4301E9" wp14:editId="7215D251">
                <wp:simplePos x="0" y="0"/>
                <wp:positionH relativeFrom="column">
                  <wp:posOffset>11430</wp:posOffset>
                </wp:positionH>
                <wp:positionV relativeFrom="paragraph">
                  <wp:posOffset>1127760</wp:posOffset>
                </wp:positionV>
                <wp:extent cx="5588635" cy="1139825"/>
                <wp:effectExtent l="0" t="0" r="12065" b="2222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139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9D" w:rsidRDefault="00C0409D" w:rsidP="0083689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i/>
                                <w:lang w:eastAsia="pt-PT"/>
                              </w:rPr>
                            </w:pPr>
                            <w:r w:rsidRPr="006C1C49">
                              <w:rPr>
                                <w:rFonts w:eastAsia="Times New Roman" w:cs="Arial"/>
                                <w:b/>
                                <w:lang w:eastAsia="pt-PT"/>
                              </w:rPr>
                              <w:t>Nota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pt-PT"/>
                              </w:rPr>
                              <w:t>s</w:t>
                            </w:r>
                            <w:r w:rsidRPr="006C1C49">
                              <w:rPr>
                                <w:rFonts w:eastAsia="Times New Roman" w:cs="Arial"/>
                                <w:b/>
                                <w:lang w:eastAsia="pt-PT"/>
                              </w:rPr>
                              <w:t>:</w:t>
                            </w:r>
                          </w:p>
                          <w:p w:rsidR="00C0409D" w:rsidRDefault="00C0409D" w:rsidP="0083689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before="12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lang w:eastAsia="pt-PT"/>
                              </w:rPr>
                            </w:pPr>
                            <w:r w:rsidRPr="0083689A">
                              <w:rPr>
                                <w:rFonts w:ascii="Calibri" w:eastAsia="Times New Roman" w:hAnsi="Calibri" w:cs="Arial"/>
                                <w:lang w:eastAsia="pt-PT"/>
                              </w:rPr>
                              <w:t>No caso de projetos de implantação de um novo estabelecimentos, o âmbito do estudo corresponde à totalidade do estabelecimento.</w:t>
                            </w:r>
                          </w:p>
                          <w:p w:rsidR="00C0409D" w:rsidRPr="0083689A" w:rsidRDefault="00C0409D" w:rsidP="0083689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before="120" w:after="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lang w:eastAsia="pt-PT"/>
                              </w:rPr>
                            </w:pPr>
                            <w:r w:rsidRPr="0083689A">
                              <w:rPr>
                                <w:rFonts w:ascii="Calibri" w:eastAsia="Times New Roman" w:hAnsi="Calibri" w:cs="Arial"/>
                                <w:lang w:eastAsia="pt-PT"/>
                              </w:rPr>
                              <w:t xml:space="preserve">No caso de projetos de alteração, o âmbito do estudo corresponde à alteração pretendida e não à totalidade do estabelecimento. </w:t>
                            </w:r>
                          </w:p>
                          <w:p w:rsidR="00C0409D" w:rsidRPr="00B34D86" w:rsidRDefault="00C0409D" w:rsidP="0083689A">
                            <w:pPr>
                              <w:spacing w:before="120" w:after="120" w:line="240" w:lineRule="auto"/>
                              <w:contextualSpacing/>
                              <w:jc w:val="both"/>
                              <w:rPr>
                                <w:rFonts w:eastAsia="Times New Roman" w:cs="Times New Roman"/>
                                <w:noProof/>
                                <w:lang w:eastAsia="pt-PT"/>
                              </w:rPr>
                            </w:pPr>
                          </w:p>
                          <w:p w:rsidR="00C0409D" w:rsidRDefault="00C0409D" w:rsidP="00836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01E9" id="Caixa de Texto 2" o:spid="_x0000_s1027" type="#_x0000_t202" style="position:absolute;left:0;text-align:left;margin-left:.9pt;margin-top:88.8pt;width:440.05pt;height:8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" fillcolor="#e2efd9 [665]" strokecolor="#a8d08d [1945]">
                <v:textbox>
                  <w:txbxContent>
                    <w:p w:rsidR="00C0409D" w:rsidRDefault="00C0409D" w:rsidP="0083689A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i/>
                          <w:lang w:eastAsia="pt-PT"/>
                        </w:rPr>
                      </w:pPr>
                      <w:r w:rsidRPr="006C1C49">
                        <w:rPr>
                          <w:rFonts w:eastAsia="Times New Roman" w:cs="Arial"/>
                          <w:b/>
                          <w:lang w:eastAsia="pt-PT"/>
                        </w:rPr>
                        <w:t>Nota</w:t>
                      </w:r>
                      <w:r>
                        <w:rPr>
                          <w:rFonts w:eastAsia="Times New Roman" w:cs="Arial"/>
                          <w:b/>
                          <w:lang w:eastAsia="pt-PT"/>
                        </w:rPr>
                        <w:t>s</w:t>
                      </w:r>
                      <w:r w:rsidRPr="006C1C49">
                        <w:rPr>
                          <w:rFonts w:eastAsia="Times New Roman" w:cs="Arial"/>
                          <w:b/>
                          <w:lang w:eastAsia="pt-PT"/>
                        </w:rPr>
                        <w:t>:</w:t>
                      </w:r>
                    </w:p>
                    <w:p w:rsidR="00C0409D" w:rsidRDefault="00C0409D" w:rsidP="0083689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before="12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lang w:eastAsia="pt-PT"/>
                        </w:rPr>
                      </w:pPr>
                      <w:r w:rsidRPr="0083689A">
                        <w:rPr>
                          <w:rFonts w:ascii="Calibri" w:eastAsia="Times New Roman" w:hAnsi="Calibri" w:cs="Arial"/>
                          <w:lang w:eastAsia="pt-PT"/>
                        </w:rPr>
                        <w:t>No caso de projetos de implantação de um novo estabelecimentos, o âmbito do estudo corresponde à totalidade do estabelecimento.</w:t>
                      </w:r>
                    </w:p>
                    <w:p w:rsidR="00C0409D" w:rsidRPr="0083689A" w:rsidRDefault="00C0409D" w:rsidP="0083689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before="120" w:after="0" w:line="240" w:lineRule="auto"/>
                        <w:ind w:left="714" w:hanging="357"/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lang w:eastAsia="pt-PT"/>
                        </w:rPr>
                      </w:pPr>
                      <w:r w:rsidRPr="0083689A">
                        <w:rPr>
                          <w:rFonts w:ascii="Calibri" w:eastAsia="Times New Roman" w:hAnsi="Calibri" w:cs="Arial"/>
                          <w:lang w:eastAsia="pt-PT"/>
                        </w:rPr>
                        <w:t xml:space="preserve">No caso de projetos de alteração, o âmbito do estudo corresponde à alteração pretendida e não à totalidade do estabelecimento. </w:t>
                      </w:r>
                    </w:p>
                    <w:p w:rsidR="00C0409D" w:rsidRPr="00B34D86" w:rsidRDefault="00C0409D" w:rsidP="0083689A">
                      <w:pPr>
                        <w:spacing w:before="120" w:after="120" w:line="240" w:lineRule="auto"/>
                        <w:contextualSpacing/>
                        <w:jc w:val="both"/>
                        <w:rPr>
                          <w:rFonts w:eastAsia="Times New Roman" w:cs="Times New Roman"/>
                          <w:noProof/>
                          <w:lang w:eastAsia="pt-PT"/>
                        </w:rPr>
                      </w:pPr>
                    </w:p>
                    <w:p w:rsidR="00C0409D" w:rsidRDefault="00C0409D" w:rsidP="0083689A"/>
                  </w:txbxContent>
                </v:textbox>
                <w10:wrap type="square"/>
              </v:shape>
            </w:pict>
          </mc:Fallback>
        </mc:AlternateContent>
      </w:r>
      <w:r w:rsidR="008A515F" w:rsidRPr="0011445B">
        <w:rPr>
          <w:rFonts w:ascii="Calibri" w:eastAsia="Times New Roman" w:hAnsi="Calibri" w:cs="Times New Roman"/>
          <w:noProof/>
          <w:lang w:eastAsia="pt-PT"/>
        </w:rPr>
        <w:t xml:space="preserve">Planta geral do estabelecimento legendada, com a indicação da escala e orientação, com identificação dos equipamentos onde estão presentes substâncias perigosas. A planta  deve identificar os limites do estabelecimento e a alteração prevista, se aplicável. </w:t>
      </w:r>
      <w:r w:rsidR="00F65129" w:rsidRPr="0011445B">
        <w:rPr>
          <w:rFonts w:ascii="Calibri" w:eastAsia="Times New Roman" w:hAnsi="Calibri" w:cs="Times New Roman"/>
          <w:noProof/>
          <w:lang w:eastAsia="pt-PT"/>
        </w:rPr>
        <w:t xml:space="preserve">Planta da rede de drenagem de águas residuais, pluviais e/ou contaminadas. </w:t>
      </w:r>
    </w:p>
    <w:p w:rsidR="00A92128" w:rsidRPr="00BA2738" w:rsidRDefault="00BA2738" w:rsidP="00CF4B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426"/>
          <w:tab w:val="left" w:pos="9214"/>
        </w:tabs>
        <w:spacing w:before="360" w:after="120" w:line="240" w:lineRule="auto"/>
        <w:jc w:val="both"/>
        <w:outlineLvl w:val="0"/>
        <w:rPr>
          <w:rFonts w:ascii="Calibri" w:eastAsia="Times New Roman" w:hAnsi="Calibri" w:cs="Arial"/>
          <w:b/>
          <w:lang w:eastAsia="pt-PT"/>
        </w:rPr>
      </w:pPr>
      <w:r>
        <w:rPr>
          <w:rFonts w:ascii="Calibri" w:eastAsia="Times New Roman" w:hAnsi="Calibri" w:cs="Arial"/>
          <w:b/>
          <w:lang w:eastAsia="pt-PT"/>
        </w:rPr>
        <w:lastRenderedPageBreak/>
        <w:t xml:space="preserve">2. </w:t>
      </w:r>
      <w:r w:rsidR="00A92128" w:rsidRPr="00A92128">
        <w:rPr>
          <w:rFonts w:ascii="Calibri" w:eastAsia="Times New Roman" w:hAnsi="Calibri" w:cs="Arial"/>
          <w:b/>
          <w:lang w:eastAsia="pt-PT"/>
        </w:rPr>
        <w:t>Identificação, seleção e análise dos possíveis cenários de acidente</w:t>
      </w:r>
    </w:p>
    <w:p w:rsidR="00A92128" w:rsidRPr="0052730D" w:rsidRDefault="00A92128" w:rsidP="00A92128">
      <w:pPr>
        <w:spacing w:before="120" w:after="0" w:line="360" w:lineRule="auto"/>
        <w:jc w:val="both"/>
        <w:rPr>
          <w:u w:val="single"/>
        </w:rPr>
      </w:pPr>
      <w:r w:rsidRPr="0052730D">
        <w:rPr>
          <w:u w:val="single"/>
        </w:rPr>
        <w:t xml:space="preserve">2.1 Análise preliminar de perigos </w:t>
      </w:r>
    </w:p>
    <w:p w:rsidR="00263347" w:rsidRPr="0052730D" w:rsidRDefault="00A92128" w:rsidP="00274F3E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eastAsia="Times New Roman" w:cs="Times New Roman"/>
          <w:noProof/>
          <w:lang w:eastAsia="pt-PT"/>
        </w:rPr>
      </w:pPr>
      <w:r w:rsidRPr="0052730D">
        <w:rPr>
          <w:rFonts w:eastAsia="Times New Roman" w:cs="Times New Roman"/>
          <w:noProof/>
          <w:lang w:eastAsia="pt-PT"/>
        </w:rPr>
        <w:t xml:space="preserve">Identificação das fontes de perigo internas, </w:t>
      </w:r>
      <w:r w:rsidR="00274F3E" w:rsidRPr="0052730D">
        <w:rPr>
          <w:rFonts w:eastAsia="Times New Roman" w:cs="Times New Roman"/>
          <w:noProof/>
          <w:lang w:eastAsia="pt-PT"/>
        </w:rPr>
        <w:t>relacionadas com a presença de substâncias perigosas em equipamentos ou em a</w:t>
      </w:r>
      <w:r w:rsidRPr="0052730D">
        <w:rPr>
          <w:rFonts w:eastAsia="Times New Roman" w:cs="Times New Roman"/>
          <w:noProof/>
          <w:lang w:eastAsia="pt-PT"/>
        </w:rPr>
        <w:t>tividades, e dos possíveis eventos críticos associados</w:t>
      </w:r>
      <w:r w:rsidR="00BA2738" w:rsidRPr="0052730D">
        <w:rPr>
          <w:rFonts w:eastAsia="Times New Roman" w:cs="Times New Roman"/>
          <w:noProof/>
          <w:lang w:eastAsia="pt-PT"/>
        </w:rPr>
        <w:t>.</w:t>
      </w:r>
    </w:p>
    <w:p w:rsidR="00BA2738" w:rsidRPr="0052730D" w:rsidRDefault="00EA52C9" w:rsidP="00DD6C5A">
      <w:pPr>
        <w:spacing w:before="120" w:after="0" w:line="360" w:lineRule="auto"/>
        <w:jc w:val="both"/>
        <w:rPr>
          <w:u w:val="single"/>
        </w:rPr>
      </w:pPr>
      <w:r w:rsidRPr="0052730D">
        <w:rPr>
          <w:rFonts w:ascii="Times New Roman" w:eastAsia="Times New Roman" w:hAnsi="Times New Roman" w:cs="Arial"/>
          <w:b/>
          <w:noProof/>
          <w:u w:val="single"/>
          <w:lang w:eastAsia="pt-PT"/>
        </w:rPr>
        <mc:AlternateContent>
          <mc:Choice Requires="wps">
            <w:drawing>
              <wp:anchor distT="71755" distB="71755" distL="114300" distR="114300" simplePos="0" relativeHeight="251671552" behindDoc="1" locked="0" layoutInCell="1" allowOverlap="1" wp14:anchorId="6771CEB0" wp14:editId="18F2236A">
                <wp:simplePos x="0" y="0"/>
                <wp:positionH relativeFrom="margin">
                  <wp:posOffset>-2540</wp:posOffset>
                </wp:positionH>
                <wp:positionV relativeFrom="paragraph">
                  <wp:posOffset>321310</wp:posOffset>
                </wp:positionV>
                <wp:extent cx="5601970" cy="771525"/>
                <wp:effectExtent l="0" t="0" r="0" b="952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7715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9D" w:rsidRDefault="00C0409D" w:rsidP="0011445B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  <w:t>Considera-se como cenário de acidente o evento critico (perda de contenção, rutura de tubagem, colapso de tanque) e o fenómeno perigoso subsequente (nuvem tóxica, incêndio de charco, explosão, etc.).</w:t>
                            </w:r>
                          </w:p>
                          <w:p w:rsidR="00C0409D" w:rsidRPr="00F65129" w:rsidRDefault="00C0409D" w:rsidP="0011445B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:rsidR="00C0409D" w:rsidRPr="0011445B" w:rsidRDefault="00C0409D" w:rsidP="0011445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11445B">
                              <w:rPr>
                                <w:rFonts w:ascii="Calibri" w:hAnsi="Calibri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>(Land use planning guidelines in the contexto of Directives 96/82/CE and 105/2003/CE)</w:t>
                            </w:r>
                          </w:p>
                          <w:p w:rsidR="00C0409D" w:rsidRDefault="00C0409D" w:rsidP="0011445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CEB0" id="_x0000_s1028" type="#_x0000_t202" style="position:absolute;left:0;text-align:left;margin-left:-.2pt;margin-top:25.3pt;width:441.1pt;height:60.75pt;z-index:-251644928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" fillcolor="#e6e6e6" stroked="f">
                <v:textbox>
                  <w:txbxContent>
                    <w:p w:rsidR="00C0409D" w:rsidRDefault="00C0409D" w:rsidP="0011445B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  <w:t>Considera-se como cenário de acidente o evento critico (perda de contenção, rutura de tubagem, colapso de tanque) e o fenómeno perigoso subsequente (nuvem tóxica, incêndio de charco, explosão, etc.).</w:t>
                      </w:r>
                    </w:p>
                    <w:p w:rsidR="00C0409D" w:rsidRPr="00F65129" w:rsidRDefault="00C0409D" w:rsidP="0011445B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</w:pPr>
                    </w:p>
                    <w:p w:rsidR="00C0409D" w:rsidRPr="0011445B" w:rsidRDefault="00C0409D" w:rsidP="0011445B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</w:pPr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 xml:space="preserve">(Land use </w:t>
                      </w:r>
                      <w:proofErr w:type="spellStart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>planning</w:t>
                      </w:r>
                      <w:proofErr w:type="spellEnd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>guidelines</w:t>
                      </w:r>
                      <w:proofErr w:type="spellEnd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 xml:space="preserve"> contexto </w:t>
                      </w:r>
                      <w:proofErr w:type="spellStart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>Directives</w:t>
                      </w:r>
                      <w:proofErr w:type="spellEnd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 xml:space="preserve"> 96/82/CE </w:t>
                      </w:r>
                      <w:proofErr w:type="spellStart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11445B">
                        <w:rPr>
                          <w:rFonts w:ascii="Calibri" w:hAnsi="Calibri" w:cs="Arial"/>
                          <w:i/>
                          <w:spacing w:val="-5"/>
                          <w:sz w:val="20"/>
                          <w:szCs w:val="20"/>
                        </w:rPr>
                        <w:t xml:space="preserve"> 105/2003/CE)</w:t>
                      </w:r>
                    </w:p>
                    <w:p w:rsidR="00C0409D" w:rsidRDefault="00C0409D" w:rsidP="0011445B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pacing w:val="-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D6C5A" w:rsidRPr="0052730D">
        <w:rPr>
          <w:u w:val="single"/>
        </w:rPr>
        <w:t>2.2 Identificação dos potenciais cenários de acidente</w:t>
      </w:r>
    </w:p>
    <w:p w:rsidR="00DD6C5A" w:rsidRPr="0011445B" w:rsidRDefault="00DD6C5A" w:rsidP="00274F3E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eastAsia="Times New Roman" w:cs="Times New Roman"/>
          <w:noProof/>
          <w:lang w:eastAsia="pt-PT"/>
        </w:rPr>
      </w:pPr>
      <w:r w:rsidRPr="0011445B">
        <w:rPr>
          <w:rFonts w:eastAsia="Times New Roman" w:cs="Times New Roman"/>
          <w:noProof/>
          <w:lang w:eastAsia="pt-PT"/>
        </w:rPr>
        <w:t>Identificação dos potenciais cenários de liber</w:t>
      </w:r>
      <w:r w:rsidR="00412E4F" w:rsidRPr="0011445B">
        <w:rPr>
          <w:rFonts w:eastAsia="Times New Roman" w:cs="Times New Roman"/>
          <w:noProof/>
          <w:lang w:eastAsia="pt-PT"/>
        </w:rPr>
        <w:t>tação de substâncias perigosas</w:t>
      </w:r>
      <w:r w:rsidRPr="0011445B">
        <w:rPr>
          <w:rFonts w:eastAsia="Times New Roman" w:cs="Times New Roman"/>
          <w:noProof/>
          <w:lang w:eastAsia="pt-PT"/>
        </w:rPr>
        <w:t>, tendo em atenção o seguinte:</w:t>
      </w:r>
    </w:p>
    <w:p w:rsidR="00DD6C5A" w:rsidRPr="00AC1FD9" w:rsidRDefault="00DD6C5A" w:rsidP="00A92D00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AC1FD9">
        <w:t>Os eventos críticos identificados na análise preliminar de perigos;</w:t>
      </w:r>
    </w:p>
    <w:p w:rsidR="00412E4F" w:rsidRDefault="005F53C9" w:rsidP="00A92D00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5F53C9">
        <w:rPr>
          <w:rFonts w:ascii="Calibri" w:eastAsia="Times New Roman" w:hAnsi="Calibri" w:cs="Times New Roman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05846" wp14:editId="157CC418">
                <wp:simplePos x="0" y="0"/>
                <wp:positionH relativeFrom="column">
                  <wp:posOffset>-2540</wp:posOffset>
                </wp:positionH>
                <wp:positionV relativeFrom="paragraph">
                  <wp:posOffset>1052830</wp:posOffset>
                </wp:positionV>
                <wp:extent cx="5549900" cy="2196465"/>
                <wp:effectExtent l="0" t="0" r="12700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196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9D" w:rsidRPr="006C1C49" w:rsidRDefault="00C0409D" w:rsidP="0083689A">
                            <w:pPr>
                              <w:spacing w:after="12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</w:pPr>
                            <w:r w:rsidRPr="006C1C49"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  <w:t>Notas:</w:t>
                            </w:r>
                          </w:p>
                          <w:p w:rsidR="00C0409D" w:rsidRDefault="00C0409D" w:rsidP="0083689A">
                            <w:pPr>
                              <w:spacing w:after="12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u w:val="single"/>
                                <w:lang w:eastAsia="pt-PT"/>
                              </w:rPr>
                            </w:pPr>
                            <w:r w:rsidRPr="00A92D00">
                              <w:rPr>
                                <w:rFonts w:ascii="Calibri" w:eastAsia="Times New Roman" w:hAnsi="Calibri" w:cs="Times New Roman"/>
                                <w:noProof/>
                                <w:lang w:eastAsia="pt-PT"/>
                              </w:rPr>
                              <w:t xml:space="preserve">Os cenários a identificar devem: </w:t>
                            </w:r>
                          </w:p>
                          <w:p w:rsidR="00C0409D" w:rsidRPr="0083689A" w:rsidRDefault="00C0409D" w:rsidP="0083689A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u w:val="single"/>
                                <w:lang w:eastAsia="pt-PT"/>
                              </w:rPr>
                            </w:pPr>
                            <w:r w:rsidRPr="00B34D86">
                              <w:t xml:space="preserve">ser representativos do estabelecimento ou da alteração e abranger todas as partes das instalações onde estejam presentes substâncias perigosas; </w:t>
                            </w:r>
                          </w:p>
                          <w:p w:rsidR="00C0409D" w:rsidRPr="0083689A" w:rsidRDefault="00C0409D" w:rsidP="0083689A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u w:val="single"/>
                                <w:lang w:eastAsia="pt-PT"/>
                              </w:rPr>
                            </w:pPr>
                            <w:r w:rsidRPr="00B34D86">
                              <w:t xml:space="preserve">ter em atenção a quantidade de substâncias perigosas presente e tipo de equipamento associado (seja de processo, de armazenagem ou de movimentação de produtos) e a sua localização em relação ao limite do estabelecimento; </w:t>
                            </w:r>
                          </w:p>
                          <w:p w:rsidR="00C0409D" w:rsidRPr="0083689A" w:rsidRDefault="00C0409D" w:rsidP="0083689A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u w:val="single"/>
                                <w:lang w:eastAsia="pt-PT"/>
                              </w:rPr>
                            </w:pPr>
                            <w:r w:rsidRPr="00B34D86">
                              <w:t>ser representativos da perigosidade e comportamento das substâncias perigosas, em situações normais e anormais, devendo também ser consideradas as substâncias perigosas que é legítimo supor que se produzam em caso de acidente.</w:t>
                            </w:r>
                          </w:p>
                          <w:p w:rsidR="00C0409D" w:rsidRDefault="00C0409D" w:rsidP="005F5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5846" id="_x0000_s1029" type="#_x0000_t202" style="position:absolute;left:0;text-align:left;margin-left:-.2pt;margin-top:82.9pt;width:437pt;height:17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" fillcolor="#e2efd9 [665]" strokecolor="#a8d08d [1945]">
                <v:textbox>
                  <w:txbxContent>
                    <w:p w:rsidR="00C0409D" w:rsidRPr="006C1C49" w:rsidRDefault="00C0409D" w:rsidP="0083689A">
                      <w:pPr>
                        <w:spacing w:after="120"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</w:pPr>
                      <w:r w:rsidRPr="006C1C49"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  <w:t>Notas:</w:t>
                      </w:r>
                    </w:p>
                    <w:p w:rsidR="00C0409D" w:rsidRDefault="00C0409D" w:rsidP="0083689A">
                      <w:pPr>
                        <w:spacing w:after="120" w:line="240" w:lineRule="auto"/>
                        <w:jc w:val="both"/>
                        <w:rPr>
                          <w:rFonts w:ascii="Calibri" w:eastAsia="Times New Roman" w:hAnsi="Calibri" w:cs="Arial"/>
                          <w:i/>
                          <w:u w:val="single"/>
                          <w:lang w:eastAsia="pt-PT"/>
                        </w:rPr>
                      </w:pPr>
                      <w:r w:rsidRPr="00A92D00">
                        <w:rPr>
                          <w:rFonts w:ascii="Calibri" w:eastAsia="Times New Roman" w:hAnsi="Calibri" w:cs="Times New Roman"/>
                          <w:noProof/>
                          <w:lang w:eastAsia="pt-PT"/>
                        </w:rPr>
                        <w:t xml:space="preserve">Os cenários a identificar devem: </w:t>
                      </w:r>
                    </w:p>
                    <w:p w:rsidR="00C0409D" w:rsidRPr="0083689A" w:rsidRDefault="00C0409D" w:rsidP="0083689A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i/>
                          <w:u w:val="single"/>
                          <w:lang w:eastAsia="pt-PT"/>
                        </w:rPr>
                      </w:pPr>
                      <w:proofErr w:type="gramStart"/>
                      <w:r w:rsidRPr="00B34D86">
                        <w:t>ser</w:t>
                      </w:r>
                      <w:proofErr w:type="gramEnd"/>
                      <w:r w:rsidRPr="00B34D86">
                        <w:t xml:space="preserve"> representativos do estabelecimento ou da alteração e abranger todas as partes das instalações onde estejam presentes substâncias perigosas; </w:t>
                      </w:r>
                    </w:p>
                    <w:p w:rsidR="00C0409D" w:rsidRPr="0083689A" w:rsidRDefault="00C0409D" w:rsidP="0083689A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i/>
                          <w:u w:val="single"/>
                          <w:lang w:eastAsia="pt-PT"/>
                        </w:rPr>
                      </w:pPr>
                      <w:proofErr w:type="gramStart"/>
                      <w:r w:rsidRPr="00B34D86">
                        <w:t>ter</w:t>
                      </w:r>
                      <w:proofErr w:type="gramEnd"/>
                      <w:r w:rsidRPr="00B34D86">
                        <w:t xml:space="preserve"> em atenção a quantidade de substâncias perigosas presente e tipo de equipamento associado (seja de processo, de armazenagem ou de movimentação de produtos) e a sua localização em relação ao limite do estabelecimento; </w:t>
                      </w:r>
                    </w:p>
                    <w:p w:rsidR="00C0409D" w:rsidRPr="0083689A" w:rsidRDefault="00C0409D" w:rsidP="0083689A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i/>
                          <w:u w:val="single"/>
                          <w:lang w:eastAsia="pt-PT"/>
                        </w:rPr>
                      </w:pPr>
                      <w:proofErr w:type="gramStart"/>
                      <w:r w:rsidRPr="00B34D86">
                        <w:t>ser</w:t>
                      </w:r>
                      <w:proofErr w:type="gramEnd"/>
                      <w:r w:rsidRPr="00B34D86">
                        <w:t xml:space="preserve"> representativos da perigosidade e comportamento das substâncias perigosas, em situações normais e anormais, devendo também ser consideradas as substâncias perigosas que é legítimo supor que se produzam em caso de acidente.</w:t>
                      </w:r>
                    </w:p>
                    <w:p w:rsidR="00C0409D" w:rsidRDefault="00C0409D" w:rsidP="005F53C9"/>
                  </w:txbxContent>
                </v:textbox>
                <w10:wrap type="square"/>
              </v:shape>
            </w:pict>
          </mc:Fallback>
        </mc:AlternateContent>
      </w:r>
      <w:r w:rsidR="00DD6C5A" w:rsidRPr="00AC1FD9">
        <w:t>As roturas de diâmetro de 10 mm, de 100 mm e rotura total, nos reservatórios e reatores, e as rotura totais e de 10% do diâmetro nominal, nas tubagens (que incluem mangueiras e braços de carga de trasfega</w:t>
      </w:r>
      <w:r w:rsidR="00BA2738" w:rsidRPr="00AC1FD9">
        <w:t>)</w:t>
      </w:r>
      <w:r w:rsidR="00DD6C5A" w:rsidRPr="00AC1FD9">
        <w:t>.</w:t>
      </w:r>
      <w:r w:rsidR="00412E4F" w:rsidRPr="00AC1FD9">
        <w:t xml:space="preserve"> Em casos devidamente fundamentados poderão ser utilizadas outras opções.</w:t>
      </w:r>
    </w:p>
    <w:p w:rsidR="005F53C9" w:rsidRPr="0052730D" w:rsidRDefault="005F53C9" w:rsidP="002A6ED3">
      <w:pPr>
        <w:pStyle w:val="PargrafodaLista"/>
        <w:spacing w:before="240" w:after="120" w:line="240" w:lineRule="auto"/>
        <w:jc w:val="both"/>
      </w:pPr>
    </w:p>
    <w:p w:rsidR="008E7070" w:rsidRPr="0052730D" w:rsidRDefault="008E7070" w:rsidP="008E7070">
      <w:pPr>
        <w:spacing w:before="120" w:after="0" w:line="360" w:lineRule="auto"/>
        <w:jc w:val="both"/>
        <w:rPr>
          <w:u w:val="single"/>
        </w:rPr>
      </w:pPr>
      <w:r w:rsidRPr="0052730D">
        <w:rPr>
          <w:u w:val="single"/>
        </w:rPr>
        <w:t>2.3 Estimativa da frequência de ocorrência dos cenários de acidente identificados</w:t>
      </w:r>
    </w:p>
    <w:p w:rsidR="002A6ED3" w:rsidRPr="0052730D" w:rsidRDefault="00CB34A6" w:rsidP="00B34D86">
      <w:pPr>
        <w:numPr>
          <w:ilvl w:val="0"/>
          <w:numId w:val="15"/>
        </w:numPr>
        <w:spacing w:before="240" w:after="120" w:line="360" w:lineRule="auto"/>
        <w:ind w:left="426"/>
        <w:contextualSpacing/>
        <w:jc w:val="both"/>
        <w:rPr>
          <w:rFonts w:eastAsia="Times New Roman" w:cs="Times New Roman"/>
          <w:noProof/>
          <w:lang w:eastAsia="pt-PT"/>
        </w:rPr>
      </w:pPr>
      <w:r w:rsidRPr="0052730D">
        <w:rPr>
          <w:rFonts w:eastAsia="Times New Roman" w:cs="Times New Roman"/>
          <w:noProof/>
          <w:lang w:eastAsia="pt-PT"/>
        </w:rPr>
        <w:t xml:space="preserve">Estimativa da frequência de ocorrência de cada cenário identificado, utilizando para o efeito árvores de acontecimentos. Este cálculo deve ser efetuado considerando o sucesso e a falha de atuação </w:t>
      </w:r>
      <w:r w:rsidR="002A6ED3" w:rsidRPr="0052730D">
        <w:rPr>
          <w:rFonts w:eastAsia="Times New Roman" w:cs="Times New Roman"/>
          <w:noProof/>
          <w:lang w:eastAsia="pt-PT"/>
        </w:rPr>
        <w:t xml:space="preserve">de sistemas automáticos que contribuam para a redução da frequência de ocorrência ou das consequências dos cenários. </w:t>
      </w:r>
    </w:p>
    <w:p w:rsidR="008E7070" w:rsidRPr="0052730D" w:rsidRDefault="005F53C9" w:rsidP="00EA52C9">
      <w:pPr>
        <w:spacing w:before="240" w:after="120" w:line="360" w:lineRule="auto"/>
        <w:jc w:val="both"/>
        <w:rPr>
          <w:u w:val="single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0B98DB" wp14:editId="7B6921B0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5591175" cy="709295"/>
                <wp:effectExtent l="0" t="0" r="28575" b="1460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092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9D" w:rsidRDefault="00C0409D" w:rsidP="0083689A">
                            <w:pPr>
                              <w:spacing w:after="120" w:line="240" w:lineRule="auto"/>
                              <w:jc w:val="both"/>
                              <w:rPr>
                                <w:rFonts w:eastAsia="Times New Roman" w:cs="Arial"/>
                                <w:i/>
                                <w:lang w:eastAsia="pt-PT"/>
                              </w:rPr>
                            </w:pPr>
                            <w:r w:rsidRPr="006C1C49">
                              <w:rPr>
                                <w:rFonts w:eastAsia="Times New Roman" w:cs="Arial"/>
                                <w:b/>
                                <w:lang w:eastAsia="pt-PT"/>
                              </w:rPr>
                              <w:t>Nota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pt-PT"/>
                              </w:rPr>
                              <w:t>s</w:t>
                            </w:r>
                            <w:r w:rsidRPr="006C1C49">
                              <w:rPr>
                                <w:rFonts w:eastAsia="Times New Roman" w:cs="Arial"/>
                                <w:b/>
                                <w:lang w:eastAsia="pt-PT"/>
                              </w:rPr>
                              <w:t>:</w:t>
                            </w:r>
                            <w:r w:rsidRPr="00B34D86">
                              <w:rPr>
                                <w:rFonts w:eastAsia="Times New Roman" w:cs="Arial"/>
                                <w:i/>
                                <w:lang w:eastAsia="pt-PT"/>
                              </w:rPr>
                              <w:t xml:space="preserve"> </w:t>
                            </w:r>
                          </w:p>
                          <w:p w:rsidR="00C0409D" w:rsidRPr="0083689A" w:rsidRDefault="00C0409D" w:rsidP="0083689A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eastAsia="Times New Roman" w:cs="Times New Roman"/>
                                <w:noProof/>
                                <w:lang w:eastAsia="pt-PT"/>
                              </w:rPr>
                            </w:pPr>
                            <w:r w:rsidRPr="0083689A">
                              <w:rPr>
                                <w:rFonts w:eastAsia="Times New Roman" w:cs="Times New Roman"/>
                                <w:noProof/>
                                <w:lang w:eastAsia="pt-PT"/>
                              </w:rPr>
                              <w:t>Não são consideradas medidas que impliquem ação humana, exceto em casos pontuais devidamente fundamentados.</w:t>
                            </w:r>
                          </w:p>
                          <w:p w:rsidR="00C0409D" w:rsidRDefault="00C04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98DB" id="_x0000_s1030" type="#_x0000_t202" style="position:absolute;left:0;text-align:left;margin-left:-.2pt;margin-top:.5pt;width:440.25pt;height:5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" fillcolor="#e2efd9 [665]" strokecolor="#a8d08d [1945]">
                <v:textbox>
                  <w:txbxContent>
                    <w:p w:rsidR="00C0409D" w:rsidRDefault="00C0409D" w:rsidP="0083689A">
                      <w:pPr>
                        <w:spacing w:after="120" w:line="240" w:lineRule="auto"/>
                        <w:jc w:val="both"/>
                        <w:rPr>
                          <w:rFonts w:eastAsia="Times New Roman" w:cs="Arial"/>
                          <w:i/>
                          <w:lang w:eastAsia="pt-PT"/>
                        </w:rPr>
                      </w:pPr>
                      <w:r w:rsidRPr="006C1C49">
                        <w:rPr>
                          <w:rFonts w:eastAsia="Times New Roman" w:cs="Arial"/>
                          <w:b/>
                          <w:lang w:eastAsia="pt-PT"/>
                        </w:rPr>
                        <w:t>Nota</w:t>
                      </w:r>
                      <w:r>
                        <w:rPr>
                          <w:rFonts w:eastAsia="Times New Roman" w:cs="Arial"/>
                          <w:b/>
                          <w:lang w:eastAsia="pt-PT"/>
                        </w:rPr>
                        <w:t>s</w:t>
                      </w:r>
                      <w:r w:rsidRPr="006C1C49">
                        <w:rPr>
                          <w:rFonts w:eastAsia="Times New Roman" w:cs="Arial"/>
                          <w:b/>
                          <w:lang w:eastAsia="pt-PT"/>
                        </w:rPr>
                        <w:t>:</w:t>
                      </w:r>
                      <w:r w:rsidRPr="00B34D86">
                        <w:rPr>
                          <w:rFonts w:eastAsia="Times New Roman" w:cs="Arial"/>
                          <w:i/>
                          <w:lang w:eastAsia="pt-PT"/>
                        </w:rPr>
                        <w:t xml:space="preserve"> </w:t>
                      </w:r>
                    </w:p>
                    <w:p w:rsidR="00C0409D" w:rsidRPr="0083689A" w:rsidRDefault="00C0409D" w:rsidP="0083689A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pacing w:before="120" w:after="120" w:line="240" w:lineRule="auto"/>
                        <w:jc w:val="both"/>
                        <w:rPr>
                          <w:rFonts w:eastAsia="Times New Roman" w:cs="Times New Roman"/>
                          <w:noProof/>
                          <w:lang w:eastAsia="pt-PT"/>
                        </w:rPr>
                      </w:pPr>
                      <w:r w:rsidRPr="0083689A">
                        <w:rPr>
                          <w:rFonts w:eastAsia="Times New Roman" w:cs="Times New Roman"/>
                          <w:noProof/>
                          <w:lang w:eastAsia="pt-PT"/>
                        </w:rPr>
                        <w:t>Não são consideradas medidas que impliquem ação humana, exceto em casos pontuais devidamente fundamentados.</w:t>
                      </w:r>
                    </w:p>
                    <w:p w:rsidR="00C0409D" w:rsidRDefault="00C0409D"/>
                  </w:txbxContent>
                </v:textbox>
                <w10:wrap type="square"/>
              </v:shape>
            </w:pict>
          </mc:Fallback>
        </mc:AlternateContent>
      </w:r>
      <w:r w:rsidR="0022196A" w:rsidRPr="0052730D">
        <w:rPr>
          <w:u w:val="single"/>
        </w:rPr>
        <w:t>2.4 Sele</w:t>
      </w:r>
      <w:r w:rsidR="008E7070" w:rsidRPr="0052730D">
        <w:rPr>
          <w:u w:val="single"/>
        </w:rPr>
        <w:t>ção de cenários</w:t>
      </w:r>
    </w:p>
    <w:p w:rsidR="0079424F" w:rsidRPr="0052730D" w:rsidRDefault="008F0159" w:rsidP="00F806BA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Sele</w:t>
      </w:r>
      <w:r w:rsidR="008E7070" w:rsidRPr="0052730D">
        <w:rPr>
          <w:rFonts w:ascii="Calibri" w:eastAsia="Times New Roman" w:hAnsi="Calibri" w:cs="Times New Roman"/>
          <w:noProof/>
          <w:lang w:eastAsia="pt-PT"/>
        </w:rPr>
        <w:t xml:space="preserve">ção dos cenários de «acidentes graves», de acordo com a definição que consta da alínea a) do artigo </w:t>
      </w:r>
      <w:r w:rsidRPr="0052730D">
        <w:rPr>
          <w:rFonts w:ascii="Calibri" w:eastAsia="Times New Roman" w:hAnsi="Calibri" w:cs="Times New Roman"/>
          <w:noProof/>
          <w:lang w:eastAsia="pt-PT"/>
        </w:rPr>
        <w:t>3º do</w:t>
      </w:r>
      <w:r w:rsidR="008E7070" w:rsidRPr="0052730D">
        <w:rPr>
          <w:rFonts w:ascii="Calibri" w:eastAsia="Times New Roman" w:hAnsi="Calibri" w:cs="Times New Roman"/>
          <w:noProof/>
          <w:lang w:eastAsia="pt-PT"/>
        </w:rPr>
        <w:t xml:space="preserve"> Decreto-Lei n.º 150/2015, de 5 de agosto, com frequência de ocorr</w:t>
      </w:r>
      <w:r w:rsidRPr="0052730D">
        <w:rPr>
          <w:rFonts w:ascii="Calibri" w:eastAsia="Times New Roman" w:hAnsi="Calibri" w:cs="Times New Roman"/>
          <w:noProof/>
          <w:lang w:eastAsia="pt-PT"/>
        </w:rPr>
        <w:t>ência igual ou superior a 1x10</w:t>
      </w:r>
      <w:r w:rsidRPr="0052730D">
        <w:rPr>
          <w:rFonts w:ascii="Calibri" w:eastAsia="Times New Roman" w:hAnsi="Calibri" w:cs="Times New Roman"/>
          <w:noProof/>
          <w:vertAlign w:val="superscript"/>
          <w:lang w:eastAsia="pt-PT"/>
        </w:rPr>
        <w:t>-6</w:t>
      </w:r>
      <w:r w:rsidR="008E7070" w:rsidRPr="0052730D">
        <w:rPr>
          <w:rFonts w:ascii="Calibri" w:eastAsia="Times New Roman" w:hAnsi="Calibri" w:cs="Times New Roman"/>
          <w:noProof/>
          <w:lang w:eastAsia="pt-PT"/>
        </w:rPr>
        <w:t>/ano.</w:t>
      </w:r>
    </w:p>
    <w:p w:rsidR="0079424F" w:rsidRPr="0052730D" w:rsidRDefault="0079424F" w:rsidP="00EA52C9">
      <w:pPr>
        <w:spacing w:before="200" w:after="0" w:line="360" w:lineRule="auto"/>
        <w:jc w:val="both"/>
        <w:rPr>
          <w:u w:val="single"/>
        </w:rPr>
      </w:pPr>
      <w:r w:rsidRPr="0052730D">
        <w:rPr>
          <w:u w:val="single"/>
        </w:rPr>
        <w:t>2.5 Avaliação das consequências</w:t>
      </w:r>
    </w:p>
    <w:p w:rsidR="00D856A3" w:rsidRPr="0052730D" w:rsidRDefault="005F53C9" w:rsidP="002A6ED3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A6E02E" wp14:editId="2DA4B8F9">
                <wp:simplePos x="0" y="0"/>
                <wp:positionH relativeFrom="column">
                  <wp:posOffset>0</wp:posOffset>
                </wp:positionH>
                <wp:positionV relativeFrom="paragraph">
                  <wp:posOffset>1256211</wp:posOffset>
                </wp:positionV>
                <wp:extent cx="5591175" cy="1650365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650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9D" w:rsidRPr="006C1C49" w:rsidRDefault="00C0409D" w:rsidP="000728B0">
                            <w:pPr>
                              <w:spacing w:after="12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</w:pPr>
                            <w:r w:rsidRPr="006C1C49"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  <w:t>Notas:</w:t>
                            </w:r>
                          </w:p>
                          <w:p w:rsidR="00C0409D" w:rsidRDefault="00C0409D" w:rsidP="00FE54BD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spacing w:before="240" w:after="12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lang w:eastAsia="pt-PT"/>
                              </w:rPr>
                            </w:pPr>
                            <w:r w:rsidRPr="00FE54BD">
                              <w:rPr>
                                <w:rFonts w:ascii="Calibri" w:eastAsia="Times New Roman" w:hAnsi="Calibri" w:cs="Times New Roman"/>
                                <w:noProof/>
                                <w:lang w:eastAsia="pt-PT"/>
                              </w:rPr>
                              <w:t>As condições meteorológicas mais frequentes devem ser obtidas a partir dos dados meteorológicos fornecidos pela estação meteorológica mais próxima do estabelecimento, que sejam representativos de um período de 30 anos.</w:t>
                            </w:r>
                          </w:p>
                          <w:p w:rsidR="00C0409D" w:rsidRPr="00FE54BD" w:rsidRDefault="00C0409D" w:rsidP="00FE54BD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spacing w:before="240" w:after="12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lang w:eastAsia="pt-PT"/>
                              </w:rPr>
                            </w:pPr>
                            <w:r w:rsidRPr="00FE54BD">
                              <w:rPr>
                                <w:rFonts w:ascii="Calibri" w:eastAsia="Times New Roman" w:hAnsi="Calibri" w:cs="Times New Roman"/>
                                <w:noProof/>
                                <w:lang w:eastAsia="pt-PT"/>
                              </w:rPr>
                              <w:t>O tempo de libertação a considerar poderá ser inferior a 60 minutos, desde que devidamente fundamentado, se se verificar no estabelecimento a existência de mecanismos que permitam a deteção automática da libertação das substâncias, associada a  fecho manual remoto a partir da sala de controlo ou a fecho automático.</w:t>
                            </w:r>
                          </w:p>
                          <w:p w:rsidR="00C0409D" w:rsidRDefault="00C04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E02E" id="_x0000_s1031" type="#_x0000_t202" style="position:absolute;left:0;text-align:left;margin-left:0;margin-top:98.9pt;width:440.25pt;height:12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" fillcolor="#e2efd9 [665]" strokecolor="#a8d08d [1945]">
                <v:textbox>
                  <w:txbxContent>
                    <w:p w:rsidR="00C0409D" w:rsidRPr="006C1C49" w:rsidRDefault="00C0409D" w:rsidP="000728B0">
                      <w:pPr>
                        <w:spacing w:after="120"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</w:pPr>
                      <w:r w:rsidRPr="006C1C49"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  <w:t>Notas:</w:t>
                      </w:r>
                    </w:p>
                    <w:p w:rsidR="00C0409D" w:rsidRDefault="00C0409D" w:rsidP="00FE54BD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spacing w:before="240" w:after="120" w:line="240" w:lineRule="auto"/>
                        <w:jc w:val="both"/>
                        <w:rPr>
                          <w:rFonts w:ascii="Calibri" w:eastAsia="Times New Roman" w:hAnsi="Calibri" w:cs="Times New Roman"/>
                          <w:noProof/>
                          <w:lang w:eastAsia="pt-PT"/>
                        </w:rPr>
                      </w:pPr>
                      <w:r w:rsidRPr="00FE54BD">
                        <w:rPr>
                          <w:rFonts w:ascii="Calibri" w:eastAsia="Times New Roman" w:hAnsi="Calibri" w:cs="Times New Roman"/>
                          <w:noProof/>
                          <w:lang w:eastAsia="pt-PT"/>
                        </w:rPr>
                        <w:t>As condições meteorológicas mais frequentes devem ser obtidas a partir dos dados meteorológicos fornecidos pela estação meteorológica mais próxima do estabelecimento, que sejam representativos de um período de 30 anos.</w:t>
                      </w:r>
                    </w:p>
                    <w:p w:rsidR="00C0409D" w:rsidRPr="00FE54BD" w:rsidRDefault="00C0409D" w:rsidP="00FE54BD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spacing w:before="240" w:after="120" w:line="240" w:lineRule="auto"/>
                        <w:jc w:val="both"/>
                        <w:rPr>
                          <w:rFonts w:ascii="Calibri" w:eastAsia="Times New Roman" w:hAnsi="Calibri" w:cs="Times New Roman"/>
                          <w:noProof/>
                          <w:lang w:eastAsia="pt-PT"/>
                        </w:rPr>
                      </w:pPr>
                      <w:r w:rsidRPr="00FE54BD">
                        <w:rPr>
                          <w:rFonts w:ascii="Calibri" w:eastAsia="Times New Roman" w:hAnsi="Calibri" w:cs="Times New Roman"/>
                          <w:noProof/>
                          <w:lang w:eastAsia="pt-PT"/>
                        </w:rPr>
                        <w:t>O tempo de libertação a considerar poderá ser inferior a 60 minutos, desde que devidamente fundamentado, se se verificar no estabelecimento a existência de mecanismos que permitam a deteção automática da libertação das substâncias, associada a  fecho manual remoto a partir da sala de controlo ou a fecho automático.</w:t>
                      </w:r>
                    </w:p>
                    <w:p w:rsidR="00C0409D" w:rsidRDefault="00C0409D"/>
                  </w:txbxContent>
                </v:textbox>
                <w10:wrap type="square"/>
              </v:shape>
            </w:pict>
          </mc:Fallback>
        </mc:AlternateContent>
      </w:r>
      <w:r w:rsidR="00427F00" w:rsidRPr="0052730D">
        <w:rPr>
          <w:rFonts w:ascii="Calibri" w:eastAsia="Times New Roman" w:hAnsi="Calibri" w:cs="Times New Roman"/>
          <w:noProof/>
          <w:lang w:eastAsia="pt-PT"/>
        </w:rPr>
        <w:t>Modelação dos cenários selec</w:t>
      </w:r>
      <w:r w:rsidR="0079424F" w:rsidRPr="0052730D">
        <w:rPr>
          <w:rFonts w:ascii="Calibri" w:eastAsia="Times New Roman" w:hAnsi="Calibri" w:cs="Times New Roman"/>
          <w:noProof/>
          <w:lang w:eastAsia="pt-PT"/>
        </w:rPr>
        <w:t xml:space="preserve">ionados, através de </w:t>
      </w:r>
      <w:r w:rsidR="0079424F" w:rsidRPr="0052730D">
        <w:rPr>
          <w:rFonts w:ascii="Calibri" w:eastAsia="Times New Roman" w:hAnsi="Calibri" w:cs="Times New Roman"/>
          <w:i/>
          <w:noProof/>
          <w:lang w:eastAsia="pt-PT"/>
        </w:rPr>
        <w:t>software</w:t>
      </w:r>
      <w:r w:rsidR="0079424F" w:rsidRPr="0052730D">
        <w:rPr>
          <w:rFonts w:ascii="Calibri" w:eastAsia="Times New Roman" w:hAnsi="Calibri" w:cs="Times New Roman"/>
          <w:noProof/>
          <w:lang w:eastAsia="pt-PT"/>
        </w:rPr>
        <w:t xml:space="preserve"> apropriado, utilizando os valores de sobrepressão, radiação térmica e toxicidade indicados na tabela 1. Na modelação dos referidos cenários devem ser consideradas as condições meteorológicas mais frequentes na área de implantação do projeto e um tempo de libertação das substâncias perigosas de 60 minutos. </w:t>
      </w:r>
    </w:p>
    <w:p w:rsidR="0074566A" w:rsidRDefault="0074566A" w:rsidP="0074566A">
      <w:pPr>
        <w:pStyle w:val="Legenda"/>
        <w:keepNext/>
      </w:pPr>
    </w:p>
    <w:p w:rsidR="0074566A" w:rsidRPr="0074566A" w:rsidRDefault="0074566A" w:rsidP="0074566A">
      <w:pPr>
        <w:pStyle w:val="Legenda"/>
        <w:keepNext/>
        <w:spacing w:after="0"/>
        <w:contextualSpacing/>
        <w:jc w:val="both"/>
        <w:rPr>
          <w:color w:val="auto"/>
        </w:rPr>
      </w:pPr>
      <w:r w:rsidRPr="0074566A">
        <w:rPr>
          <w:color w:val="auto"/>
        </w:rPr>
        <w:t xml:space="preserve">Tabela </w:t>
      </w:r>
      <w:r w:rsidRPr="0074566A">
        <w:rPr>
          <w:color w:val="auto"/>
        </w:rPr>
        <w:fldChar w:fldCharType="begin"/>
      </w:r>
      <w:r w:rsidRPr="0074566A">
        <w:rPr>
          <w:color w:val="auto"/>
        </w:rPr>
        <w:instrText xml:space="preserve"> SEQ Tabela \* ARABIC </w:instrText>
      </w:r>
      <w:r w:rsidRPr="0074566A">
        <w:rPr>
          <w:color w:val="auto"/>
        </w:rPr>
        <w:fldChar w:fldCharType="separate"/>
      </w:r>
      <w:r w:rsidRPr="0074566A">
        <w:rPr>
          <w:noProof/>
          <w:color w:val="auto"/>
        </w:rPr>
        <w:t>1</w:t>
      </w:r>
      <w:r w:rsidRPr="0074566A">
        <w:rPr>
          <w:color w:val="auto"/>
        </w:rPr>
        <w:fldChar w:fldCharType="end"/>
      </w:r>
      <w:r w:rsidRPr="0074566A">
        <w:rPr>
          <w:color w:val="auto"/>
        </w:rPr>
        <w:t>. Valores-limite de sobrepressão, radiação térmica e toxicidade para a determinação das distâncias de segurança.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21"/>
        <w:gridCol w:w="2880"/>
      </w:tblGrid>
      <w:tr w:rsidR="00762CF4" w:rsidRPr="00762CF4" w:rsidTr="00B338C9"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:rsidR="00762CF4" w:rsidRPr="00762CF4" w:rsidRDefault="00762CF4" w:rsidP="0074566A">
            <w:pPr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:rsidR="00762CF4" w:rsidRPr="00FE54BD" w:rsidRDefault="00762CF4" w:rsidP="0074566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4BD">
              <w:rPr>
                <w:rFonts w:ascii="Calibri" w:eastAsia="Calibri" w:hAnsi="Calibri" w:cs="Times New Roman"/>
                <w:sz w:val="20"/>
                <w:szCs w:val="20"/>
              </w:rPr>
              <w:t>Limiar da possibilidade de ocorrência de letalidade</w:t>
            </w: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:rsidR="00762CF4" w:rsidRPr="00FE54BD" w:rsidRDefault="00762CF4" w:rsidP="0074566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4BD">
              <w:rPr>
                <w:rFonts w:ascii="Calibri" w:eastAsia="Calibri" w:hAnsi="Calibri" w:cs="Times New Roman"/>
                <w:sz w:val="20"/>
                <w:szCs w:val="20"/>
              </w:rPr>
              <w:t>Limiar da possibilidade de ocorrência de efeitos irreversíveis na saúde humana</w:t>
            </w:r>
          </w:p>
        </w:tc>
      </w:tr>
      <w:tr w:rsidR="00762CF4" w:rsidRPr="00762CF4" w:rsidTr="00B338C9">
        <w:tc>
          <w:tcPr>
            <w:tcW w:w="3119" w:type="dxa"/>
            <w:shd w:val="clear" w:color="auto" w:fill="E2EFD9" w:themeFill="accent6" w:themeFillTint="33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Dose tóxica</w:t>
            </w:r>
          </w:p>
        </w:tc>
        <w:tc>
          <w:tcPr>
            <w:tcW w:w="2821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AEGL 3</w:t>
            </w:r>
            <w:r w:rsidRPr="00762CF4">
              <w:rPr>
                <w:rFonts w:ascii="Calibri" w:eastAsia="Times New Roman" w:hAnsi="Calibri" w:cs="Times New Roman"/>
                <w:lang w:eastAsia="pt-PT"/>
              </w:rPr>
              <w:t>*</w:t>
            </w: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 xml:space="preserve"> (60 min)</w:t>
            </w:r>
          </w:p>
        </w:tc>
        <w:tc>
          <w:tcPr>
            <w:tcW w:w="2880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AEGL 2</w:t>
            </w:r>
            <w:r w:rsidRPr="00762CF4">
              <w:rPr>
                <w:rFonts w:ascii="Calibri" w:eastAsia="Times New Roman" w:hAnsi="Calibri" w:cs="Times New Roman"/>
                <w:lang w:eastAsia="pt-PT"/>
              </w:rPr>
              <w:t>*</w:t>
            </w: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 xml:space="preserve"> (60 min)</w:t>
            </w:r>
          </w:p>
        </w:tc>
      </w:tr>
      <w:tr w:rsidR="00762CF4" w:rsidRPr="00762CF4" w:rsidTr="00B338C9">
        <w:tc>
          <w:tcPr>
            <w:tcW w:w="3119" w:type="dxa"/>
            <w:shd w:val="clear" w:color="auto" w:fill="E2EFD9" w:themeFill="accent6" w:themeFillTint="33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Radiação Térmica</w:t>
            </w:r>
            <w:r w:rsidRPr="00762CF4">
              <w:rPr>
                <w:rFonts w:ascii="Calibri" w:eastAsia="Times New Roman" w:hAnsi="Calibri" w:cs="Times New Roman"/>
                <w:lang w:eastAsia="pt-PT"/>
              </w:rPr>
              <w:t xml:space="preserve"> </w:t>
            </w:r>
            <w:r w:rsidRPr="00762CF4">
              <w:rPr>
                <w:rFonts w:ascii="Calibri" w:eastAsia="Times New Roman" w:hAnsi="Calibri" w:cs="Times New Roman"/>
                <w:sz w:val="18"/>
                <w:szCs w:val="18"/>
                <w:lang w:eastAsia="pt-PT"/>
              </w:rPr>
              <w:t>(exposição de 30 s)</w:t>
            </w:r>
          </w:p>
        </w:tc>
        <w:tc>
          <w:tcPr>
            <w:tcW w:w="2821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7 kW/m</w:t>
            </w:r>
            <w:r w:rsidRPr="00762CF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t-PT"/>
              </w:rPr>
              <w:t>2</w:t>
            </w:r>
          </w:p>
        </w:tc>
        <w:tc>
          <w:tcPr>
            <w:tcW w:w="2880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5 kW/m</w:t>
            </w:r>
            <w:r w:rsidRPr="00762CF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t-PT"/>
              </w:rPr>
              <w:t>2</w:t>
            </w:r>
          </w:p>
        </w:tc>
      </w:tr>
      <w:tr w:rsidR="00762CF4" w:rsidRPr="00762CF4" w:rsidTr="00B338C9">
        <w:tc>
          <w:tcPr>
            <w:tcW w:w="3119" w:type="dxa"/>
            <w:shd w:val="clear" w:color="auto" w:fill="E2EFD9" w:themeFill="accent6" w:themeFillTint="33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Inflamabilidade</w:t>
            </w:r>
          </w:p>
        </w:tc>
        <w:tc>
          <w:tcPr>
            <w:tcW w:w="2821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50% Limite inferior de inflamabilidade</w:t>
            </w:r>
          </w:p>
        </w:tc>
        <w:tc>
          <w:tcPr>
            <w:tcW w:w="2880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-</w:t>
            </w:r>
          </w:p>
        </w:tc>
      </w:tr>
      <w:tr w:rsidR="00762CF4" w:rsidRPr="00762CF4" w:rsidTr="00B338C9">
        <w:tc>
          <w:tcPr>
            <w:tcW w:w="3119" w:type="dxa"/>
            <w:shd w:val="clear" w:color="auto" w:fill="E2EFD9" w:themeFill="accent6" w:themeFillTint="33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Sobrepressão</w:t>
            </w:r>
          </w:p>
        </w:tc>
        <w:tc>
          <w:tcPr>
            <w:tcW w:w="2821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0,14 bar</w:t>
            </w:r>
          </w:p>
        </w:tc>
        <w:tc>
          <w:tcPr>
            <w:tcW w:w="2880" w:type="dxa"/>
            <w:vAlign w:val="center"/>
          </w:tcPr>
          <w:p w:rsidR="00762CF4" w:rsidRPr="00762CF4" w:rsidRDefault="00762CF4" w:rsidP="00762C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</w:pPr>
            <w:r w:rsidRPr="00762CF4">
              <w:rPr>
                <w:rFonts w:ascii="Calibri" w:eastAsia="Times New Roman" w:hAnsi="Calibri" w:cs="Verdana"/>
                <w:sz w:val="20"/>
                <w:szCs w:val="20"/>
                <w:lang w:eastAsia="pt-PT"/>
              </w:rPr>
              <w:t>0,05 bar</w:t>
            </w:r>
          </w:p>
        </w:tc>
      </w:tr>
    </w:tbl>
    <w:p w:rsidR="00762CF4" w:rsidRPr="00762CF4" w:rsidRDefault="00762CF4" w:rsidP="00762CF4">
      <w:pPr>
        <w:spacing w:after="240" w:line="240" w:lineRule="auto"/>
        <w:ind w:left="426"/>
        <w:jc w:val="both"/>
        <w:rPr>
          <w:rFonts w:ascii="Calibri" w:eastAsia="Times New Roman" w:hAnsi="Calibri" w:cs="Tunga"/>
          <w:sz w:val="20"/>
          <w:szCs w:val="20"/>
          <w:lang w:eastAsia="pt-PT"/>
        </w:rPr>
      </w:pPr>
      <w:r w:rsidRPr="00762CF4">
        <w:rPr>
          <w:rFonts w:ascii="Calibri" w:eastAsia="Times New Roman" w:hAnsi="Calibri" w:cs="Times New Roman"/>
          <w:lang w:val="en-US" w:eastAsia="pt-PT"/>
        </w:rPr>
        <w:t>*</w:t>
      </w:r>
      <w:r w:rsidRPr="00762CF4">
        <w:rPr>
          <w:rFonts w:ascii="Calibri" w:eastAsia="Times New Roman" w:hAnsi="Calibri" w:cs="Tunga"/>
          <w:sz w:val="20"/>
          <w:szCs w:val="20"/>
          <w:lang w:val="en-US" w:eastAsia="pt-PT"/>
        </w:rPr>
        <w:t xml:space="preserve"> AEGL: </w:t>
      </w:r>
      <w:r w:rsidRPr="00762CF4">
        <w:rPr>
          <w:rFonts w:ascii="Calibri" w:eastAsia="Times New Roman" w:hAnsi="Calibri" w:cs="Tunga"/>
          <w:i/>
          <w:sz w:val="20"/>
          <w:szCs w:val="20"/>
          <w:lang w:val="en-US" w:eastAsia="pt-PT"/>
        </w:rPr>
        <w:t>Acute Exposure Guideline Levels</w:t>
      </w:r>
      <w:r w:rsidRPr="00762CF4">
        <w:rPr>
          <w:rFonts w:ascii="Calibri" w:eastAsia="Times New Roman" w:hAnsi="Calibri" w:cs="Tunga"/>
          <w:sz w:val="20"/>
          <w:szCs w:val="20"/>
          <w:lang w:val="en-US" w:eastAsia="pt-PT"/>
        </w:rPr>
        <w:t xml:space="preserve">, Environment Protection Agency, EUA. </w:t>
      </w:r>
      <w:r w:rsidRPr="00762CF4">
        <w:rPr>
          <w:rFonts w:ascii="Calibri" w:eastAsia="Times New Roman" w:hAnsi="Calibri" w:cs="Tunga"/>
          <w:sz w:val="20"/>
          <w:szCs w:val="20"/>
          <w:lang w:eastAsia="pt-PT"/>
        </w:rPr>
        <w:t>No caso de não existir AEGL para a substância em causa, poderá optar-se pelo uso de ERPG (</w:t>
      </w:r>
      <w:r w:rsidRPr="00762CF4">
        <w:rPr>
          <w:rFonts w:ascii="Calibri" w:eastAsia="Times New Roman" w:hAnsi="Calibri" w:cs="Tunga"/>
          <w:i/>
          <w:sz w:val="20"/>
          <w:szCs w:val="20"/>
          <w:lang w:eastAsia="pt-PT"/>
        </w:rPr>
        <w:t>Emergency Response Planning Guidelines</w:t>
      </w:r>
      <w:r w:rsidRPr="00762CF4">
        <w:rPr>
          <w:rFonts w:ascii="Calibri" w:eastAsia="Times New Roman" w:hAnsi="Calibri" w:cs="Tunga"/>
          <w:sz w:val="20"/>
          <w:szCs w:val="20"/>
          <w:lang w:eastAsia="pt-PT"/>
        </w:rPr>
        <w:t>, American Industrial Hygiene Association, EUA).</w:t>
      </w:r>
    </w:p>
    <w:p w:rsidR="00D856A3" w:rsidRPr="00D856A3" w:rsidRDefault="00D856A3" w:rsidP="00D856A3">
      <w:pPr>
        <w:spacing w:after="120" w:line="240" w:lineRule="auto"/>
        <w:jc w:val="both"/>
        <w:rPr>
          <w:rFonts w:ascii="Calibri" w:eastAsia="Calibri" w:hAnsi="Calibri" w:cs="Times New Roman"/>
          <w:bCs/>
        </w:rPr>
      </w:pPr>
      <w:r w:rsidRPr="00D856A3">
        <w:rPr>
          <w:rFonts w:ascii="Calibri" w:eastAsia="Calibri" w:hAnsi="Calibri" w:cs="Times New Roman"/>
        </w:rPr>
        <w:t>Na modelação dos cenários de acidente de libertação de oxigénio, podem ser utilizados os valores-limite abaixo indicados.</w:t>
      </w:r>
    </w:p>
    <w:p w:rsidR="0074566A" w:rsidRPr="0074566A" w:rsidRDefault="0074566A" w:rsidP="0074566A">
      <w:pPr>
        <w:pStyle w:val="Legenda"/>
        <w:keepNext/>
        <w:spacing w:after="0"/>
        <w:contextualSpacing/>
        <w:jc w:val="both"/>
        <w:rPr>
          <w:color w:val="auto"/>
        </w:rPr>
      </w:pPr>
      <w:r w:rsidRPr="0074566A">
        <w:rPr>
          <w:color w:val="auto"/>
        </w:rPr>
        <w:lastRenderedPageBreak/>
        <w:t xml:space="preserve">Tabela </w:t>
      </w:r>
      <w:r w:rsidRPr="0074566A">
        <w:rPr>
          <w:color w:val="auto"/>
        </w:rPr>
        <w:fldChar w:fldCharType="begin"/>
      </w:r>
      <w:r w:rsidRPr="0074566A">
        <w:rPr>
          <w:color w:val="auto"/>
        </w:rPr>
        <w:instrText xml:space="preserve"> SEQ Tabela \* ARABIC </w:instrText>
      </w:r>
      <w:r w:rsidRPr="0074566A">
        <w:rPr>
          <w:color w:val="auto"/>
        </w:rPr>
        <w:fldChar w:fldCharType="separate"/>
      </w:r>
      <w:r w:rsidRPr="0074566A">
        <w:rPr>
          <w:color w:val="auto"/>
        </w:rPr>
        <w:t>2</w:t>
      </w:r>
      <w:r w:rsidRPr="0074566A">
        <w:rPr>
          <w:color w:val="auto"/>
        </w:rPr>
        <w:fldChar w:fldCharType="end"/>
      </w:r>
      <w:r w:rsidRPr="0074566A">
        <w:rPr>
          <w:color w:val="auto"/>
        </w:rPr>
        <w:t>. Valores-limite para a modelação de cenários de libertação de oxigénio.</w:t>
      </w:r>
    </w:p>
    <w:tbl>
      <w:tblPr>
        <w:tblW w:w="8820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10"/>
        <w:gridCol w:w="3600"/>
      </w:tblGrid>
      <w:tr w:rsidR="00D856A3" w:rsidRPr="00D856A3" w:rsidTr="00B338C9">
        <w:trPr>
          <w:trHeight w:val="596"/>
        </w:trPr>
        <w:tc>
          <w:tcPr>
            <w:tcW w:w="241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A3" w:rsidRPr="00D856A3" w:rsidRDefault="00D856A3" w:rsidP="00D856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10" w:type="dxa"/>
            <w:tcBorders>
              <w:top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6A3" w:rsidRPr="00427F00" w:rsidRDefault="00D856A3" w:rsidP="00D856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7F00">
              <w:rPr>
                <w:rFonts w:ascii="Calibri" w:eastAsia="Calibri" w:hAnsi="Calibri" w:cs="Times New Roman"/>
                <w:sz w:val="20"/>
                <w:szCs w:val="20"/>
              </w:rPr>
              <w:t>Limiar da possibilidade de ocorrência de letalidade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6A3" w:rsidRPr="00427F00" w:rsidRDefault="00D856A3" w:rsidP="00D856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7F00">
              <w:rPr>
                <w:rFonts w:ascii="Calibri" w:eastAsia="Calibri" w:hAnsi="Calibri" w:cs="Times New Roman"/>
                <w:sz w:val="20"/>
                <w:szCs w:val="20"/>
              </w:rPr>
              <w:t>Limiar da possibilidade de ocorrência de efeitos irreversíveis na saúde humana</w:t>
            </w:r>
          </w:p>
        </w:tc>
      </w:tr>
      <w:tr w:rsidR="00D856A3" w:rsidRPr="00D856A3" w:rsidTr="00B338C9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6A3" w:rsidRPr="00427F00" w:rsidRDefault="00D856A3" w:rsidP="00D856A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7F00">
              <w:rPr>
                <w:rFonts w:ascii="Calibri" w:eastAsia="Calibri" w:hAnsi="Calibri" w:cs="Times New Roman"/>
                <w:sz w:val="20"/>
                <w:szCs w:val="20"/>
              </w:rPr>
              <w:t xml:space="preserve">Concentração de oxigénio </w:t>
            </w:r>
          </w:p>
        </w:tc>
        <w:tc>
          <w:tcPr>
            <w:tcW w:w="2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6A3" w:rsidRPr="00427F00" w:rsidRDefault="00D856A3" w:rsidP="00D856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7F00">
              <w:rPr>
                <w:rFonts w:ascii="Calibri" w:eastAsia="Calibri" w:hAnsi="Calibri" w:cs="Times New Roman"/>
                <w:sz w:val="20"/>
                <w:szCs w:val="20"/>
              </w:rPr>
              <w:t>35%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6A3" w:rsidRPr="00427F00" w:rsidRDefault="00D856A3" w:rsidP="00D856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7F00">
              <w:rPr>
                <w:rFonts w:ascii="Calibri" w:eastAsia="Calibri" w:hAnsi="Calibri" w:cs="Times New Roman"/>
                <w:sz w:val="20"/>
                <w:szCs w:val="20"/>
              </w:rPr>
              <w:t>30%</w:t>
            </w:r>
          </w:p>
        </w:tc>
      </w:tr>
    </w:tbl>
    <w:p w:rsidR="00762CF4" w:rsidRPr="0022196A" w:rsidRDefault="00427F00" w:rsidP="009D5400">
      <w:pPr>
        <w:spacing w:before="120" w:after="120" w:line="360" w:lineRule="auto"/>
        <w:jc w:val="both"/>
        <w:rPr>
          <w:rFonts w:ascii="Calibri" w:eastAsia="Times New Roman" w:hAnsi="Calibri" w:cs="Times New Roman"/>
          <w:noProof/>
          <w:lang w:eastAsia="pt-PT"/>
        </w:rPr>
      </w:pPr>
      <w:r w:rsidRPr="0022196A">
        <w:rPr>
          <w:rFonts w:ascii="Calibri" w:eastAsia="Times New Roman" w:hAnsi="Calibri" w:cs="Times New Roman"/>
          <w:noProof/>
          <w:lang w:eastAsia="pt-PT"/>
        </w:rPr>
        <w:t>Descrição dos cenários sele</w:t>
      </w:r>
      <w:r w:rsidR="0080688E">
        <w:rPr>
          <w:rFonts w:ascii="Calibri" w:eastAsia="Times New Roman" w:hAnsi="Calibri" w:cs="Times New Roman"/>
          <w:noProof/>
          <w:lang w:eastAsia="pt-PT"/>
        </w:rPr>
        <w:t>cionados e respe</w:t>
      </w:r>
      <w:r w:rsidR="00762CF4" w:rsidRPr="0022196A">
        <w:rPr>
          <w:rFonts w:ascii="Calibri" w:eastAsia="Times New Roman" w:hAnsi="Calibri" w:cs="Times New Roman"/>
          <w:noProof/>
          <w:lang w:eastAsia="pt-PT"/>
        </w:rPr>
        <w:t>tivas consequências, incluindo:</w:t>
      </w:r>
      <w:r w:rsidR="00762CF4" w:rsidRPr="0022196A">
        <w:rPr>
          <w:rFonts w:ascii="Calibri" w:eastAsia="Times New Roman" w:hAnsi="Calibri" w:cs="Times New Roman"/>
          <w:noProof/>
          <w:lang w:eastAsia="pt-PT"/>
        </w:rPr>
        <w:tab/>
      </w:r>
    </w:p>
    <w:p w:rsidR="0011445B" w:rsidRDefault="00762CF4" w:rsidP="0011445B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22196A">
        <w:t>Identificação do equipamento (que p</w:t>
      </w:r>
      <w:r w:rsidR="00427F00" w:rsidRPr="0022196A">
        <w:t>ermita relacioná-lo com a respe</w:t>
      </w:r>
      <w:r w:rsidRPr="0022196A">
        <w:t>tiva descrição e localização no estabelecimento, apresentada no ponto 1);</w:t>
      </w:r>
    </w:p>
    <w:p w:rsidR="00762CF4" w:rsidRPr="0022196A" w:rsidRDefault="00762CF4" w:rsidP="0011445B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22196A">
        <w:t xml:space="preserve">Identificação da massa libertada e quantidade presente no equipamento; </w:t>
      </w:r>
    </w:p>
    <w:p w:rsidR="00762CF4" w:rsidRPr="0022196A" w:rsidRDefault="00762CF4" w:rsidP="00F806BA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22196A">
        <w:t xml:space="preserve">Identificação do </w:t>
      </w:r>
      <w:r w:rsidR="00427F00" w:rsidRPr="0022196A">
        <w:t xml:space="preserve">evento </w:t>
      </w:r>
      <w:r w:rsidRPr="0022196A">
        <w:t>crítico e fe</w:t>
      </w:r>
      <w:r w:rsidR="00234911">
        <w:t>nómeno(s) perigoso(s) associado</w:t>
      </w:r>
      <w:r w:rsidRPr="0022196A">
        <w:t xml:space="preserve">(s); </w:t>
      </w:r>
    </w:p>
    <w:p w:rsidR="00762CF4" w:rsidRPr="0022196A" w:rsidRDefault="00762CF4" w:rsidP="00F806BA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22196A">
        <w:t>Tempo de libertação, caudal e diâmetro de fuga;</w:t>
      </w:r>
    </w:p>
    <w:p w:rsidR="00762CF4" w:rsidRPr="0022196A" w:rsidRDefault="00762CF4" w:rsidP="00F806BA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22196A">
        <w:t>Condições meteorológicas;</w:t>
      </w:r>
    </w:p>
    <w:p w:rsidR="00762CF4" w:rsidRPr="0022196A" w:rsidRDefault="00762CF4" w:rsidP="00F806BA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22196A">
        <w:t>Outros parâmetros usados na modelação (área de derrame, etc.);</w:t>
      </w:r>
    </w:p>
    <w:p w:rsidR="00762CF4" w:rsidRPr="0022196A" w:rsidRDefault="00762CF4" w:rsidP="00F806BA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22196A">
        <w:rPr>
          <w:i/>
        </w:rPr>
        <w:t>Inputs</w:t>
      </w:r>
      <w:r w:rsidRPr="0022196A">
        <w:t xml:space="preserve"> e </w:t>
      </w:r>
      <w:r w:rsidRPr="0022196A">
        <w:rPr>
          <w:i/>
        </w:rPr>
        <w:t>outputs</w:t>
      </w:r>
      <w:r w:rsidRPr="0022196A">
        <w:t xml:space="preserve"> do programa de simulação;</w:t>
      </w:r>
    </w:p>
    <w:p w:rsidR="0022196A" w:rsidRPr="0022196A" w:rsidRDefault="00A24497" w:rsidP="0011445B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A24497">
        <w:t>Apresentação</w:t>
      </w:r>
      <w:r>
        <w:t>, em tabela,</w:t>
      </w:r>
      <w:r w:rsidRPr="00A24497">
        <w:t xml:space="preserve"> dos resultados das simulações efetuadas, considerando os alcances dos efeitos para cada um dos cenários selecionados</w:t>
      </w:r>
      <w:r>
        <w:t>, associados a cada equipamento.</w:t>
      </w:r>
      <w:r w:rsidRPr="00A24497">
        <w:t xml:space="preserve"> </w:t>
      </w:r>
    </w:p>
    <w:p w:rsidR="00762CF4" w:rsidRPr="0052730D" w:rsidRDefault="00B21F77" w:rsidP="00762CF4">
      <w:pPr>
        <w:spacing w:before="120" w:after="0" w:line="360" w:lineRule="auto"/>
        <w:jc w:val="both"/>
        <w:rPr>
          <w:u w:val="single"/>
        </w:rPr>
      </w:pPr>
      <w:r w:rsidRPr="0052730D">
        <w:rPr>
          <w:u w:val="single"/>
        </w:rPr>
        <w:t>2.6</w:t>
      </w:r>
      <w:r w:rsidR="00762CF4" w:rsidRPr="0052730D">
        <w:rPr>
          <w:u w:val="single"/>
        </w:rPr>
        <w:t xml:space="preserve"> Substâncias perigosas para os organismos aquáticos </w:t>
      </w:r>
    </w:p>
    <w:p w:rsidR="001D333C" w:rsidRPr="0052730D" w:rsidRDefault="00762CF4" w:rsidP="0011445B">
      <w:pPr>
        <w:spacing w:before="240" w:after="120" w:line="360" w:lineRule="auto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No caso</w:t>
      </w:r>
      <w:r w:rsidR="001D333C" w:rsidRPr="0052730D">
        <w:rPr>
          <w:rFonts w:ascii="Calibri" w:eastAsia="Times New Roman" w:hAnsi="Calibri" w:cs="Times New Roman"/>
          <w:noProof/>
          <w:lang w:eastAsia="pt-PT"/>
        </w:rPr>
        <w:t xml:space="preserve"> dos cenários de libertação de substâncias perigosas</w:t>
      </w:r>
      <w:r w:rsidRPr="0052730D">
        <w:rPr>
          <w:rFonts w:ascii="Calibri" w:eastAsia="Times New Roman" w:hAnsi="Calibri" w:cs="Times New Roman"/>
          <w:noProof/>
          <w:lang w:eastAsia="pt-PT"/>
        </w:rPr>
        <w:t xml:space="preserve"> enquadradas nas categorias de perigo E1 e E2 da parte 1 do anexo I do Decreto-Lei n.º 150/2015, de 5 de agosto, é feita uma avaliação qualitativa das conseq</w:t>
      </w:r>
      <w:r w:rsidR="001D333C" w:rsidRPr="0052730D">
        <w:rPr>
          <w:rFonts w:ascii="Calibri" w:eastAsia="Times New Roman" w:hAnsi="Calibri" w:cs="Times New Roman"/>
          <w:noProof/>
          <w:lang w:eastAsia="pt-PT"/>
        </w:rPr>
        <w:t>uências dos cenários relevantes, que deve contemplar:</w:t>
      </w:r>
    </w:p>
    <w:p w:rsidR="0022196A" w:rsidRPr="0052730D" w:rsidRDefault="001D333C" w:rsidP="0022196A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52730D">
        <w:t>a avaliação da possibilidade de contaminação dos recursos hídricos, tendo em consideração, para cada cenário de libertação acidental, a quantidade de substância perigosa, o seu estado físico, o modo como a substância perigosa atinge determinado recurso hídrico (por exemplo, através de libertação direta ou encaminhamento através da redes de drenagem) e, ainda, outras condições que facilitem/dificultem que a substância perigosa atinja os recursos hídricos na envolvente do estabelecimento;</w:t>
      </w:r>
    </w:p>
    <w:p w:rsidR="00762CF4" w:rsidRPr="0052730D" w:rsidRDefault="001D333C" w:rsidP="0022196A">
      <w:pPr>
        <w:pStyle w:val="PargrafodaLista"/>
        <w:numPr>
          <w:ilvl w:val="0"/>
          <w:numId w:val="19"/>
        </w:numPr>
        <w:spacing w:before="120" w:after="0" w:line="360" w:lineRule="auto"/>
        <w:jc w:val="both"/>
      </w:pPr>
      <w:r w:rsidRPr="0052730D">
        <w:t>a discussão da eficácia das medidas previstas para a contenção dessas substâncias perigosas, incluindo a identificação dessas medidas e a descrição da forma como contribuem para a redução do risco de contaminação.</w:t>
      </w:r>
    </w:p>
    <w:p w:rsidR="00C0409D" w:rsidRDefault="00C0409D" w:rsidP="00C0409D">
      <w:pPr>
        <w:spacing w:before="120" w:after="0" w:line="360" w:lineRule="auto"/>
        <w:jc w:val="both"/>
      </w:pPr>
    </w:p>
    <w:p w:rsidR="00C0409D" w:rsidRPr="00EF5162" w:rsidRDefault="00C0409D" w:rsidP="00C0409D">
      <w:pPr>
        <w:spacing w:before="120" w:after="0" w:line="360" w:lineRule="auto"/>
        <w:jc w:val="both"/>
      </w:pPr>
    </w:p>
    <w:p w:rsidR="001D333C" w:rsidRPr="001D333C" w:rsidRDefault="001D333C" w:rsidP="00CF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426"/>
          <w:tab w:val="left" w:pos="9214"/>
        </w:tabs>
        <w:spacing w:before="360" w:after="120" w:line="240" w:lineRule="auto"/>
        <w:jc w:val="both"/>
        <w:outlineLvl w:val="0"/>
        <w:rPr>
          <w:rFonts w:ascii="Calibri" w:eastAsia="Times New Roman" w:hAnsi="Calibri" w:cs="Arial"/>
          <w:b/>
          <w:lang w:eastAsia="pt-PT"/>
        </w:rPr>
      </w:pPr>
      <w:bookmarkStart w:id="2" w:name="_Toc310603838"/>
      <w:r w:rsidRPr="001D333C">
        <w:rPr>
          <w:rFonts w:ascii="Calibri" w:eastAsia="Times New Roman" w:hAnsi="Calibri" w:cs="Arial"/>
          <w:b/>
          <w:lang w:eastAsia="pt-PT"/>
        </w:rPr>
        <w:lastRenderedPageBreak/>
        <w:t>3. Determinação das zonas de perigosidade</w:t>
      </w:r>
      <w:bookmarkEnd w:id="2"/>
      <w:r w:rsidRPr="001D333C">
        <w:rPr>
          <w:rFonts w:ascii="Calibri" w:eastAsia="Times New Roman" w:hAnsi="Calibri" w:cs="Arial"/>
          <w:b/>
          <w:lang w:eastAsia="pt-PT"/>
        </w:rPr>
        <w:t xml:space="preserve"> associadas ao estabelecimento</w:t>
      </w:r>
    </w:p>
    <w:p w:rsidR="001D333C" w:rsidRPr="00F806BA" w:rsidRDefault="001D333C" w:rsidP="00F806BA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F806BA">
        <w:rPr>
          <w:rFonts w:ascii="Calibri" w:eastAsia="Times New Roman" w:hAnsi="Calibri" w:cs="Times New Roman"/>
          <w:noProof/>
          <w:lang w:eastAsia="pt-PT"/>
        </w:rPr>
        <w:t xml:space="preserve">Representação gráfica numa única carta da envolvente, à escala adequada, da estimativa de todos os alcances dos efeitos letais e dos efeitos irreversíveis, para os cenários selecionados. </w:t>
      </w:r>
    </w:p>
    <w:p w:rsidR="000728B0" w:rsidRDefault="009E0056" w:rsidP="00F806BA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F53C9">
        <w:rPr>
          <w:rFonts w:ascii="Calibri" w:eastAsia="Times New Roman" w:hAnsi="Calibri" w:cs="Times New Roman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152D16" wp14:editId="7B43AFD4">
                <wp:simplePos x="0" y="0"/>
                <wp:positionH relativeFrom="column">
                  <wp:posOffset>0</wp:posOffset>
                </wp:positionH>
                <wp:positionV relativeFrom="paragraph">
                  <wp:posOffset>1293215</wp:posOffset>
                </wp:positionV>
                <wp:extent cx="5591175" cy="1638300"/>
                <wp:effectExtent l="0" t="0" r="28575" b="1905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63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9D" w:rsidRDefault="00C0409D" w:rsidP="000728B0">
                            <w:pPr>
                              <w:spacing w:after="12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</w:pPr>
                            <w:r w:rsidRPr="006C1C49"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  <w:t>Notas:</w:t>
                            </w:r>
                          </w:p>
                          <w:p w:rsidR="00C0409D" w:rsidRPr="000728B0" w:rsidRDefault="00C0409D" w:rsidP="000728B0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</w:pPr>
                            <w:r w:rsidRPr="000728B0">
                              <w:rPr>
                                <w:rFonts w:ascii="Calibri" w:eastAsia="Times New Roman" w:hAnsi="Calibri" w:cs="Times New Roman"/>
                                <w:noProof/>
                                <w:lang w:eastAsia="pt-PT"/>
                              </w:rPr>
                              <w:t xml:space="preserve">As distâncias aplicam-se a partir do limite da bacia de retenção de cada reservatório ou, caso não exista bacia de retenção, a partir do limite do reservatório. Caso uma bacia de retenção inclua reservatórios de substâncias perigosas diferentes, são utilizadas as maiores distâncias aplicáveis, a partir do limite dessa bacia.  </w:t>
                            </w:r>
                          </w:p>
                          <w:p w:rsidR="00C0409D" w:rsidRPr="000728B0" w:rsidRDefault="00C0409D" w:rsidP="000728B0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lang w:eastAsia="pt-PT"/>
                              </w:rPr>
                            </w:pPr>
                            <w:r w:rsidRPr="000728B0">
                              <w:rPr>
                                <w:rFonts w:ascii="Calibri" w:eastAsia="Times New Roman" w:hAnsi="Calibri" w:cs="Times New Roman"/>
                                <w:noProof/>
                                <w:lang w:eastAsia="pt-PT"/>
                              </w:rPr>
                              <w:t>A determinação das zonas de perigosidade, em casos devidamente fundamentados, pode ser influenciada pela existência de barreiras físicas naturais na propagação da de ondas de radiação térmica e deda sobrepressão.</w:t>
                            </w:r>
                          </w:p>
                          <w:p w:rsidR="00C0409D" w:rsidRDefault="00C0409D" w:rsidP="00072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2D16" id="_x0000_s1032" type="#_x0000_t202" style="position:absolute;left:0;text-align:left;margin-left:0;margin-top:101.85pt;width:440.25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" fillcolor="#e2efd9 [665]" strokecolor="#a8d08d [1945]">
                <v:textbox>
                  <w:txbxContent>
                    <w:p w:rsidR="00C0409D" w:rsidRDefault="00C0409D" w:rsidP="000728B0">
                      <w:pPr>
                        <w:spacing w:after="120"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</w:pPr>
                      <w:r w:rsidRPr="006C1C49"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  <w:t>Notas:</w:t>
                      </w:r>
                    </w:p>
                    <w:p w:rsidR="00C0409D" w:rsidRPr="000728B0" w:rsidRDefault="00C0409D" w:rsidP="000728B0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after="120"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</w:pPr>
                      <w:r w:rsidRPr="000728B0">
                        <w:rPr>
                          <w:rFonts w:ascii="Calibri" w:eastAsia="Times New Roman" w:hAnsi="Calibri" w:cs="Times New Roman"/>
                          <w:noProof/>
                          <w:lang w:eastAsia="pt-PT"/>
                        </w:rPr>
                        <w:t xml:space="preserve">As distâncias aplicam-se a partir do limite da bacia de retenção de cada reservatório ou, caso não exista bacia de retenção, a partir do limite do reservatório. Caso uma bacia de retenção inclua reservatórios de substâncias perigosas diferentes, são utilizadas as maiores distâncias aplicáveis, a partir do limite dessa bacia.  </w:t>
                      </w:r>
                    </w:p>
                    <w:p w:rsidR="00C0409D" w:rsidRPr="000728B0" w:rsidRDefault="00C0409D" w:rsidP="000728B0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after="120"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lang w:eastAsia="pt-PT"/>
                        </w:rPr>
                      </w:pPr>
                      <w:r w:rsidRPr="000728B0">
                        <w:rPr>
                          <w:rFonts w:ascii="Calibri" w:eastAsia="Times New Roman" w:hAnsi="Calibri" w:cs="Times New Roman"/>
                          <w:noProof/>
                          <w:lang w:eastAsia="pt-PT"/>
                        </w:rPr>
                        <w:t>A determinação das zonas de perigosidade, em casos devidamente fundamentados, pode ser influenciada pela existência de barreiras físicas naturais na propagação da de ondas de radiação térmica e deda sobrepressão.</w:t>
                      </w:r>
                    </w:p>
                    <w:p w:rsidR="00C0409D" w:rsidRDefault="00C0409D" w:rsidP="000728B0"/>
                  </w:txbxContent>
                </v:textbox>
                <w10:wrap type="square"/>
              </v:shape>
            </w:pict>
          </mc:Fallback>
        </mc:AlternateContent>
      </w:r>
      <w:r w:rsidR="001D333C" w:rsidRPr="00F806BA">
        <w:rPr>
          <w:rFonts w:ascii="Calibri" w:eastAsia="Times New Roman" w:hAnsi="Calibri" w:cs="Times New Roman"/>
          <w:noProof/>
          <w:lang w:eastAsia="pt-PT"/>
        </w:rPr>
        <w:t>Representação gráfica das zonas de perigosidade associadas ao estabelecimento ou à alteração (zona dos efeitos letais e zona dos efeitos irreversíveis), obtidas a partir dos maiores alcances dos efeitos dos cenários, cuja representação se encontra referida no ponto anterior, em carta da envolvente com escala que permita identificar os elementos c</w:t>
      </w:r>
      <w:r w:rsidR="00D856A3">
        <w:rPr>
          <w:rFonts w:ascii="Calibri" w:eastAsia="Times New Roman" w:hAnsi="Calibri" w:cs="Times New Roman"/>
          <w:noProof/>
          <w:lang w:eastAsia="pt-PT"/>
        </w:rPr>
        <w:t>onstruí</w:t>
      </w:r>
      <w:r w:rsidR="00EF5162">
        <w:rPr>
          <w:rFonts w:ascii="Calibri" w:eastAsia="Times New Roman" w:hAnsi="Calibri" w:cs="Times New Roman"/>
          <w:noProof/>
          <w:lang w:eastAsia="pt-PT"/>
        </w:rPr>
        <w:t xml:space="preserve">dos identificados no ponto </w:t>
      </w:r>
    </w:p>
    <w:p w:rsidR="009A74F3" w:rsidRPr="0052730D" w:rsidRDefault="009A74F3" w:rsidP="00CF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426"/>
          <w:tab w:val="left" w:pos="9214"/>
        </w:tabs>
        <w:spacing w:before="360" w:after="120" w:line="240" w:lineRule="auto"/>
        <w:jc w:val="both"/>
        <w:outlineLvl w:val="0"/>
        <w:rPr>
          <w:rFonts w:ascii="Calibri" w:eastAsia="Times New Roman" w:hAnsi="Calibri" w:cs="Arial"/>
          <w:b/>
          <w:lang w:eastAsia="pt-PT"/>
        </w:rPr>
      </w:pPr>
      <w:r w:rsidRPr="0052730D">
        <w:rPr>
          <w:rFonts w:ascii="Calibri" w:eastAsia="Times New Roman" w:hAnsi="Calibri" w:cs="Arial"/>
          <w:b/>
          <w:lang w:eastAsia="pt-PT"/>
        </w:rPr>
        <w:t>4. Caracterização da vulnerabilidade da envolvente</w:t>
      </w:r>
    </w:p>
    <w:p w:rsidR="009A74F3" w:rsidRPr="0052730D" w:rsidRDefault="009A74F3" w:rsidP="009A74F3">
      <w:pPr>
        <w:spacing w:before="120" w:after="0" w:line="360" w:lineRule="auto"/>
        <w:jc w:val="both"/>
      </w:pPr>
      <w:r w:rsidRPr="0052730D">
        <w:t>A caracterização da vulnerabilidade da envolvente deve abranger a área correspondente às zonas de perigosidade associadas ao estabelecimento ou à</w:t>
      </w:r>
      <w:r w:rsidR="00630D71" w:rsidRPr="0052730D">
        <w:t xml:space="preserve"> alteração.</w:t>
      </w:r>
    </w:p>
    <w:p w:rsidR="009A74F3" w:rsidRPr="0052730D" w:rsidRDefault="009A74F3" w:rsidP="00CB34A6">
      <w:pPr>
        <w:pStyle w:val="PargrafodaLista"/>
        <w:numPr>
          <w:ilvl w:val="1"/>
          <w:numId w:val="22"/>
        </w:numPr>
        <w:spacing w:before="120" w:after="0" w:line="360" w:lineRule="auto"/>
        <w:jc w:val="both"/>
        <w:rPr>
          <w:u w:val="single"/>
        </w:rPr>
      </w:pPr>
      <w:r w:rsidRPr="0052730D">
        <w:rPr>
          <w:u w:val="single"/>
        </w:rPr>
        <w:t>Elementos construídos</w:t>
      </w:r>
    </w:p>
    <w:p w:rsidR="00CB34A6" w:rsidRPr="0052730D" w:rsidRDefault="009A74F3" w:rsidP="00CB34A6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Discriminação e caracterização dos elementos de uso sensível construídos na envolvente, nomeadamente, habitações, estabelecimentos ou conjuntos comerciais de grandes</w:t>
      </w:r>
      <w:r w:rsidR="00630D71" w:rsidRPr="0052730D">
        <w:rPr>
          <w:rFonts w:ascii="Calibri" w:eastAsia="Times New Roman" w:hAnsi="Calibri" w:cs="Times New Roman"/>
          <w:noProof/>
          <w:lang w:eastAsia="pt-PT"/>
        </w:rPr>
        <w:t xml:space="preserve"> dimensões, edificações ou áreas livres para espetáculos, estabelecimentos prisionais, edifícios que recebam público, interfaces de transporte de passageiros, vias de comunicação importantes, escolas, lares e centros de dia para idosos ou para pessoas com deficiência, hospitais e outros estabelecimentos de saúde com internamento. </w:t>
      </w:r>
    </w:p>
    <w:p w:rsidR="00630D71" w:rsidRPr="0052730D" w:rsidRDefault="00630D71" w:rsidP="00CB34A6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Discriminação e caracterização dos elementos de uso dedicado ao socorro da população em caso de acidente grave, nomeadamente, edifícios afetos aos serviços e agentes de proteção civil, como sejam corpos de bombeiros (exceto os corpos de bombeiros privativos dos estabelecimentos em causa), forças de segurança ou forças armadas;</w:t>
      </w:r>
    </w:p>
    <w:p w:rsidR="00630D71" w:rsidRPr="0052730D" w:rsidRDefault="00630D71" w:rsidP="00F806BA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lastRenderedPageBreak/>
        <w:t>Descrição dos elementos construídos na envolvente, caracterizando a sua ocupação. Para tal são consideradas as pessoas que ocupam em permanência as habitações, os equipamentos sociais ou as instalações comerciais e industriais, bem como os seus ocupantes temporários.</w:t>
      </w:r>
    </w:p>
    <w:p w:rsidR="00630D71" w:rsidRPr="0052730D" w:rsidRDefault="00630D71" w:rsidP="00EA52C9">
      <w:pPr>
        <w:pStyle w:val="PargrafodaLista"/>
        <w:numPr>
          <w:ilvl w:val="1"/>
          <w:numId w:val="22"/>
        </w:numPr>
        <w:spacing w:before="200" w:after="120" w:line="360" w:lineRule="auto"/>
        <w:ind w:left="357" w:hanging="357"/>
        <w:contextualSpacing w:val="0"/>
        <w:jc w:val="both"/>
        <w:rPr>
          <w:u w:val="single"/>
        </w:rPr>
      </w:pPr>
      <w:r w:rsidRPr="0052730D">
        <w:rPr>
          <w:u w:val="single"/>
        </w:rPr>
        <w:t>Receptores ambientalmente sensíveis</w:t>
      </w:r>
    </w:p>
    <w:p w:rsidR="00CB34A6" w:rsidRPr="0052730D" w:rsidRDefault="00630D71" w:rsidP="00EA52C9">
      <w:pPr>
        <w:numPr>
          <w:ilvl w:val="0"/>
          <w:numId w:val="15"/>
        </w:numPr>
        <w:spacing w:before="120" w:after="120" w:line="360" w:lineRule="auto"/>
        <w:ind w:left="425" w:hanging="357"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 xml:space="preserve">Especificação e caracterização dos receptores ambientalmente sensíveis, nomeadamente recursos hídricos, áreas identificadas como Reserva Ecológica Nacional e áreas integradas no Sistema Nacional de Áreas Classificadas, estabelecido no Decreto-Lei n.º 142/2008, de 24 de Julho, alterado pelo Decreto-Lei n.º 242/2015, de 15 de outubro, nomeadamente as Áreas Protegidas, os Sítios da Lista Nacional de Sítios, as Zonas Especiais de </w:t>
      </w:r>
      <w:r w:rsidR="0045091F" w:rsidRPr="0052730D">
        <w:rPr>
          <w:rFonts w:ascii="Calibri" w:eastAsia="Times New Roman" w:hAnsi="Calibri" w:cs="Times New Roman"/>
          <w:noProof/>
          <w:lang w:eastAsia="pt-PT"/>
        </w:rPr>
        <w:t>Conservação e as Zonas de Prote</w:t>
      </w:r>
      <w:r w:rsidRPr="0052730D">
        <w:rPr>
          <w:rFonts w:ascii="Calibri" w:eastAsia="Times New Roman" w:hAnsi="Calibri" w:cs="Times New Roman"/>
          <w:noProof/>
          <w:lang w:eastAsia="pt-PT"/>
        </w:rPr>
        <w:t>ção Especial.</w:t>
      </w:r>
    </w:p>
    <w:p w:rsidR="00630D71" w:rsidRPr="0052730D" w:rsidRDefault="00630D71" w:rsidP="00EA52C9">
      <w:pPr>
        <w:pStyle w:val="PargrafodaLista"/>
        <w:numPr>
          <w:ilvl w:val="1"/>
          <w:numId w:val="22"/>
        </w:numPr>
        <w:spacing w:before="200" w:after="120" w:line="360" w:lineRule="auto"/>
        <w:ind w:left="357" w:hanging="357"/>
        <w:contextualSpacing w:val="0"/>
        <w:jc w:val="both"/>
        <w:rPr>
          <w:u w:val="single"/>
        </w:rPr>
      </w:pPr>
      <w:r w:rsidRPr="0052730D">
        <w:rPr>
          <w:u w:val="single"/>
        </w:rPr>
        <w:t>Usos, classificações e qualificações do solo</w:t>
      </w:r>
    </w:p>
    <w:p w:rsidR="00630D71" w:rsidRPr="0052730D" w:rsidRDefault="00630D71" w:rsidP="00EA52C9">
      <w:pPr>
        <w:numPr>
          <w:ilvl w:val="0"/>
          <w:numId w:val="15"/>
        </w:numPr>
        <w:spacing w:before="120" w:after="120" w:line="360" w:lineRule="auto"/>
        <w:ind w:left="425" w:hanging="357"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Extratos originais das plantas de ordenamento, de zonamento e de condicionantes dos Planos Municipais de Ordenamento do Território (PMOT) da envolvente, e de outras servidões e/ou restrições utilidade pública relevantes.</w:t>
      </w:r>
    </w:p>
    <w:p w:rsidR="00630D71" w:rsidRPr="0052730D" w:rsidRDefault="00630D71" w:rsidP="00F806BA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Elementos do regulamento dos PMOT relevantes para a caracterização dos usos e qualificações do solo.</w:t>
      </w:r>
    </w:p>
    <w:p w:rsidR="00630D71" w:rsidRPr="0052730D" w:rsidRDefault="00630D71" w:rsidP="00EA52C9">
      <w:pPr>
        <w:pStyle w:val="PargrafodaLista"/>
        <w:numPr>
          <w:ilvl w:val="1"/>
          <w:numId w:val="22"/>
        </w:numPr>
        <w:spacing w:before="200" w:after="120" w:line="360" w:lineRule="auto"/>
        <w:ind w:left="357" w:hanging="357"/>
        <w:contextualSpacing w:val="0"/>
        <w:jc w:val="both"/>
        <w:rPr>
          <w:u w:val="single"/>
        </w:rPr>
      </w:pPr>
      <w:r w:rsidRPr="0052730D">
        <w:rPr>
          <w:u w:val="single"/>
        </w:rPr>
        <w:t>Carta da envolvente</w:t>
      </w:r>
    </w:p>
    <w:p w:rsidR="00630D71" w:rsidRPr="0052730D" w:rsidRDefault="00630D71" w:rsidP="00EA52C9">
      <w:pPr>
        <w:numPr>
          <w:ilvl w:val="0"/>
          <w:numId w:val="15"/>
        </w:numPr>
        <w:spacing w:before="120" w:after="120" w:line="360" w:lineRule="auto"/>
        <w:ind w:left="425" w:hanging="357"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Carta da envolvente, com identificação dos elementos indicados em 4.1 e 4.2, em escala que permita reconhecer claramente o estabelecimento, os seus l</w:t>
      </w:r>
      <w:r w:rsidR="009D0106" w:rsidRPr="0052730D">
        <w:rPr>
          <w:rFonts w:ascii="Calibri" w:eastAsia="Times New Roman" w:hAnsi="Calibri" w:cs="Times New Roman"/>
          <w:noProof/>
          <w:lang w:eastAsia="pt-PT"/>
        </w:rPr>
        <w:t>imites e os referidos elementos.</w:t>
      </w:r>
    </w:p>
    <w:p w:rsidR="00630D71" w:rsidRPr="0052730D" w:rsidRDefault="00FE54BD" w:rsidP="00CF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426"/>
          <w:tab w:val="left" w:pos="9214"/>
        </w:tabs>
        <w:spacing w:before="360" w:after="120" w:line="240" w:lineRule="auto"/>
        <w:jc w:val="both"/>
        <w:outlineLvl w:val="0"/>
        <w:rPr>
          <w:rFonts w:ascii="Calibri" w:eastAsia="Times New Roman" w:hAnsi="Calibri" w:cs="Arial"/>
          <w:b/>
          <w:lang w:eastAsia="pt-PT"/>
        </w:rPr>
      </w:pPr>
      <w:r w:rsidRPr="0052730D">
        <w:rPr>
          <w:rFonts w:ascii="Calibri" w:eastAsia="Times New Roman" w:hAnsi="Calibri" w:cs="Arial"/>
          <w:b/>
          <w:lang w:eastAsia="pt-PT"/>
        </w:rPr>
        <w:t>5</w:t>
      </w:r>
      <w:r w:rsidR="00630D71" w:rsidRPr="0052730D">
        <w:rPr>
          <w:rFonts w:ascii="Calibri" w:eastAsia="Times New Roman" w:hAnsi="Calibri" w:cs="Arial"/>
          <w:b/>
          <w:lang w:eastAsia="pt-PT"/>
        </w:rPr>
        <w:t>. Conclusão</w:t>
      </w:r>
    </w:p>
    <w:p w:rsidR="00101411" w:rsidRPr="0052730D" w:rsidRDefault="00630D71" w:rsidP="009D0106">
      <w:pPr>
        <w:numPr>
          <w:ilvl w:val="0"/>
          <w:numId w:val="15"/>
        </w:numPr>
        <w:spacing w:before="240" w:after="120" w:line="360" w:lineRule="auto"/>
        <w:ind w:left="425" w:hanging="357"/>
        <w:contextualSpacing/>
        <w:jc w:val="both"/>
        <w:rPr>
          <w:rFonts w:ascii="Calibri" w:eastAsia="Times New Roman" w:hAnsi="Calibri" w:cs="Times New Roman"/>
          <w:noProof/>
          <w:lang w:eastAsia="pt-PT"/>
        </w:rPr>
      </w:pPr>
      <w:r w:rsidRPr="0052730D">
        <w:rPr>
          <w:rFonts w:ascii="Calibri" w:eastAsia="Times New Roman" w:hAnsi="Calibri" w:cs="Times New Roman"/>
          <w:noProof/>
          <w:lang w:eastAsia="pt-PT"/>
        </w:rPr>
        <w:t>Conclusão sobre a compatibilidade do projeto de implantação de novo estabelecimento ou do projeto de alteração com os elementos construídos de uso sensível e com os usos do solo definidos no PDM em vigor, para a envolvente, no que concerne ao risco de acidentes graves envolvendo substâncias perigosas</w:t>
      </w:r>
      <w:r w:rsidR="0045091F" w:rsidRPr="0052730D">
        <w:rPr>
          <w:rFonts w:ascii="Calibri" w:eastAsia="Times New Roman" w:hAnsi="Calibri" w:cs="Times New Roman"/>
          <w:noProof/>
          <w:lang w:eastAsia="pt-PT"/>
        </w:rPr>
        <w:t>.</w:t>
      </w:r>
      <w:r w:rsidRPr="0052730D">
        <w:rPr>
          <w:rFonts w:ascii="Calibri" w:eastAsia="Times New Roman" w:hAnsi="Calibri" w:cs="Times New Roman"/>
          <w:noProof/>
          <w:lang w:eastAsia="pt-PT"/>
        </w:rPr>
        <w:t xml:space="preserve"> </w:t>
      </w:r>
    </w:p>
    <w:sectPr w:rsidR="00101411" w:rsidRPr="0052730D" w:rsidSect="00E4709E">
      <w:headerReference w:type="default" r:id="rId8"/>
      <w:footerReference w:type="default" r:id="rId9"/>
      <w:headerReference w:type="first" r:id="rId10"/>
      <w:pgSz w:w="11907" w:h="16840" w:code="9"/>
      <w:pgMar w:top="2268" w:right="141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6C" w:rsidRDefault="00ED476C" w:rsidP="00943DB3">
      <w:pPr>
        <w:spacing w:after="0" w:line="240" w:lineRule="auto"/>
      </w:pPr>
      <w:r>
        <w:separator/>
      </w:r>
    </w:p>
  </w:endnote>
  <w:endnote w:type="continuationSeparator" w:id="0">
    <w:p w:rsidR="00ED476C" w:rsidRDefault="00ED476C" w:rsidP="0094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83888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:rsidR="00C0409D" w:rsidRPr="00131801" w:rsidRDefault="00131801" w:rsidP="00131801">
        <w:pPr>
          <w:spacing w:before="120" w:after="120"/>
          <w:rPr>
            <w:sz w:val="18"/>
            <w:szCs w:val="20"/>
          </w:rPr>
        </w:pPr>
        <w:r>
          <w:rPr>
            <w:sz w:val="20"/>
          </w:rPr>
          <w:t>D</w:t>
        </w:r>
        <w:r w:rsidRPr="00131801">
          <w:rPr>
            <w:sz w:val="20"/>
          </w:rPr>
          <w:t>ezembro de 2016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zCs w:val="44"/>
          </w:rPr>
          <w:tab/>
        </w:r>
        <w:r>
          <w:rPr>
            <w:szCs w:val="44"/>
          </w:rPr>
          <w:tab/>
        </w:r>
        <w:r>
          <w:rPr>
            <w:szCs w:val="44"/>
          </w:rPr>
          <w:tab/>
        </w:r>
        <w:r w:rsidR="00C0409D" w:rsidRPr="00131801">
          <w:rPr>
            <w:sz w:val="18"/>
            <w:szCs w:val="20"/>
          </w:rPr>
          <w:fldChar w:fldCharType="begin"/>
        </w:r>
        <w:r w:rsidR="00C0409D" w:rsidRPr="00131801">
          <w:rPr>
            <w:sz w:val="18"/>
            <w:szCs w:val="20"/>
          </w:rPr>
          <w:instrText>PAGE   \* MERGEFORMAT</w:instrText>
        </w:r>
        <w:r w:rsidR="00C0409D" w:rsidRPr="00131801">
          <w:rPr>
            <w:sz w:val="18"/>
            <w:szCs w:val="20"/>
          </w:rPr>
          <w:fldChar w:fldCharType="separate"/>
        </w:r>
        <w:r w:rsidR="00962CF4">
          <w:rPr>
            <w:noProof/>
            <w:sz w:val="18"/>
            <w:szCs w:val="20"/>
          </w:rPr>
          <w:t>10</w:t>
        </w:r>
        <w:r w:rsidR="00C0409D" w:rsidRPr="00131801">
          <w:rPr>
            <w:noProof/>
            <w:sz w:val="18"/>
            <w:szCs w:val="20"/>
          </w:rPr>
          <w:fldChar w:fldCharType="end"/>
        </w:r>
      </w:p>
    </w:sdtContent>
  </w:sdt>
  <w:p w:rsidR="00C0409D" w:rsidRDefault="00C040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6C" w:rsidRDefault="00ED476C" w:rsidP="00943DB3">
      <w:pPr>
        <w:spacing w:after="0" w:line="240" w:lineRule="auto"/>
      </w:pPr>
      <w:r>
        <w:separator/>
      </w:r>
    </w:p>
  </w:footnote>
  <w:footnote w:type="continuationSeparator" w:id="0">
    <w:p w:rsidR="00ED476C" w:rsidRDefault="00ED476C" w:rsidP="0094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9D" w:rsidRDefault="00C0409D" w:rsidP="0083108E">
    <w:pPr>
      <w:pStyle w:val="HeaderIA"/>
      <w:tabs>
        <w:tab w:val="clear" w:pos="4252"/>
        <w:tab w:val="left" w:pos="8871"/>
      </w:tabs>
      <w:ind w:right="-284"/>
      <w:rPr>
        <w:rFonts w:ascii="Times" w:hAnsi="Times"/>
        <w:sz w:val="8"/>
      </w:rPr>
    </w:pPr>
    <w:r>
      <w:rPr>
        <w:rFonts w:ascii="Times" w:hAnsi="Times"/>
        <w:noProof/>
        <w:sz w:val="8"/>
        <w:lang w:eastAsia="pt-PT"/>
      </w:rPr>
      <w:drawing>
        <wp:inline distT="0" distB="0" distL="0" distR="0" wp14:anchorId="56B71516" wp14:editId="48B0C076">
          <wp:extent cx="1857076" cy="74462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45" cy="74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/>
        <w:sz w:val="8"/>
      </w:rPr>
      <w:tab/>
    </w:r>
  </w:p>
  <w:p w:rsidR="00C0409D" w:rsidRPr="00943036" w:rsidRDefault="00C0409D" w:rsidP="00943036">
    <w:pPr>
      <w:pStyle w:val="HeaderIA"/>
      <w:ind w:right="-143"/>
      <w:rPr>
        <w:rFonts w:ascii="Times" w:hAnsi="Times"/>
        <w:sz w:val="8"/>
      </w:rPr>
    </w:pPr>
    <w:r>
      <w:rPr>
        <w:rFonts w:ascii="Times" w:hAnsi="Times"/>
        <w:sz w:val="8"/>
      </w:rPr>
      <w:t xml:space="preserve">             </w:t>
    </w:r>
    <w:r>
      <w:rPr>
        <w:rFonts w:ascii="Times" w:hAnsi="Times"/>
        <w:noProof/>
        <w:sz w:val="8"/>
        <w:lang w:eastAsia="pt-PT"/>
      </w:rPr>
      <w:drawing>
        <wp:inline distT="0" distB="0" distL="0" distR="0" wp14:anchorId="3FD4560B" wp14:editId="2D174724">
          <wp:extent cx="5601970" cy="91648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s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505" cy="11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9D" w:rsidRDefault="00C0409D" w:rsidP="001B4517">
    <w:pPr>
      <w:pStyle w:val="HeaderIA"/>
      <w:ind w:right="-284"/>
      <w:rPr>
        <w:rFonts w:ascii="Times" w:hAnsi="Times"/>
        <w:sz w:val="8"/>
      </w:rPr>
    </w:pPr>
    <w:r>
      <w:rPr>
        <w:rFonts w:ascii="Times" w:hAnsi="Times"/>
        <w:noProof/>
        <w:sz w:val="8"/>
        <w:lang w:eastAsia="pt-PT"/>
      </w:rPr>
      <w:drawing>
        <wp:inline distT="0" distB="0" distL="0" distR="0" wp14:anchorId="222FE487" wp14:editId="225ED33B">
          <wp:extent cx="1857076" cy="74462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45" cy="74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09D" w:rsidRDefault="00C0409D" w:rsidP="001B4517">
    <w:pPr>
      <w:pStyle w:val="Cabealho"/>
    </w:pPr>
    <w:r>
      <w:rPr>
        <w:rFonts w:ascii="Times" w:hAnsi="Times"/>
        <w:sz w:val="8"/>
      </w:rPr>
      <w:t xml:space="preserve">             </w:t>
    </w:r>
    <w:r>
      <w:rPr>
        <w:rFonts w:ascii="Times" w:hAnsi="Times"/>
        <w:noProof/>
        <w:sz w:val="8"/>
        <w:lang w:eastAsia="pt-PT"/>
      </w:rPr>
      <w:drawing>
        <wp:inline distT="0" distB="0" distL="0" distR="0" wp14:anchorId="2ADA3D26" wp14:editId="0C4F385F">
          <wp:extent cx="5602662" cy="91659"/>
          <wp:effectExtent l="0" t="0" r="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s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626" cy="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7C"/>
    <w:multiLevelType w:val="hybridMultilevel"/>
    <w:tmpl w:val="8AF68EE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D4E"/>
    <w:multiLevelType w:val="hybridMultilevel"/>
    <w:tmpl w:val="B34033CC"/>
    <w:lvl w:ilvl="0" w:tplc="2C5E99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365037"/>
    <w:multiLevelType w:val="hybridMultilevel"/>
    <w:tmpl w:val="36CEDEB8"/>
    <w:lvl w:ilvl="0" w:tplc="4E8A8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33906"/>
    <w:multiLevelType w:val="hybridMultilevel"/>
    <w:tmpl w:val="B34033CC"/>
    <w:lvl w:ilvl="0" w:tplc="2C5E99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5F65F6"/>
    <w:multiLevelType w:val="hybridMultilevel"/>
    <w:tmpl w:val="B26EB2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045B"/>
    <w:multiLevelType w:val="hybridMultilevel"/>
    <w:tmpl w:val="9BD258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49D"/>
    <w:multiLevelType w:val="hybridMultilevel"/>
    <w:tmpl w:val="4370A8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ED2"/>
    <w:multiLevelType w:val="hybridMultilevel"/>
    <w:tmpl w:val="826250B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F58"/>
    <w:multiLevelType w:val="hybridMultilevel"/>
    <w:tmpl w:val="DCB495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530C"/>
    <w:multiLevelType w:val="hybridMultilevel"/>
    <w:tmpl w:val="5B2E56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527D"/>
    <w:multiLevelType w:val="hybridMultilevel"/>
    <w:tmpl w:val="7DD0325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00E39"/>
    <w:multiLevelType w:val="hybridMultilevel"/>
    <w:tmpl w:val="8946CF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63EC"/>
    <w:multiLevelType w:val="multilevel"/>
    <w:tmpl w:val="D2489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562604"/>
    <w:multiLevelType w:val="hybridMultilevel"/>
    <w:tmpl w:val="B34033CC"/>
    <w:lvl w:ilvl="0" w:tplc="2C5E99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B66ABC"/>
    <w:multiLevelType w:val="hybridMultilevel"/>
    <w:tmpl w:val="B34033CC"/>
    <w:lvl w:ilvl="0" w:tplc="2C5E99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A651E5"/>
    <w:multiLevelType w:val="multilevel"/>
    <w:tmpl w:val="1B3E88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D47A32"/>
    <w:multiLevelType w:val="hybridMultilevel"/>
    <w:tmpl w:val="4934E168"/>
    <w:lvl w:ilvl="0" w:tplc="C48CA3B8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BFF"/>
    <w:multiLevelType w:val="hybridMultilevel"/>
    <w:tmpl w:val="807A2CC8"/>
    <w:lvl w:ilvl="0" w:tplc="4E8A8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E14C8"/>
    <w:multiLevelType w:val="hybridMultilevel"/>
    <w:tmpl w:val="D0DC0FA4"/>
    <w:lvl w:ilvl="0" w:tplc="B45A75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6A93"/>
    <w:multiLevelType w:val="hybridMultilevel"/>
    <w:tmpl w:val="8A626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0FBE"/>
    <w:multiLevelType w:val="hybridMultilevel"/>
    <w:tmpl w:val="B34033CC"/>
    <w:lvl w:ilvl="0" w:tplc="2C5E99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8E02EC"/>
    <w:multiLevelType w:val="hybridMultilevel"/>
    <w:tmpl w:val="9F54D1AE"/>
    <w:lvl w:ilvl="0" w:tplc="4E8A8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E4552"/>
    <w:multiLevelType w:val="hybridMultilevel"/>
    <w:tmpl w:val="B058C370"/>
    <w:lvl w:ilvl="0" w:tplc="8B2465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674A0"/>
    <w:multiLevelType w:val="hybridMultilevel"/>
    <w:tmpl w:val="E69C7F0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050A46"/>
    <w:multiLevelType w:val="hybridMultilevel"/>
    <w:tmpl w:val="BF92B7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642C"/>
    <w:multiLevelType w:val="multilevel"/>
    <w:tmpl w:val="5C548D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04EA5"/>
    <w:multiLevelType w:val="hybridMultilevel"/>
    <w:tmpl w:val="D112305C"/>
    <w:lvl w:ilvl="0" w:tplc="2C5E99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80765D"/>
    <w:multiLevelType w:val="hybridMultilevel"/>
    <w:tmpl w:val="4C32A0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F7202"/>
    <w:multiLevelType w:val="hybridMultilevel"/>
    <w:tmpl w:val="5B2E56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09DA"/>
    <w:multiLevelType w:val="hybridMultilevel"/>
    <w:tmpl w:val="331E5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97C4B"/>
    <w:multiLevelType w:val="hybridMultilevel"/>
    <w:tmpl w:val="1F72DE26"/>
    <w:lvl w:ilvl="0" w:tplc="D4F670CE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3"/>
  </w:num>
  <w:num w:numId="5">
    <w:abstractNumId w:val="24"/>
  </w:num>
  <w:num w:numId="6">
    <w:abstractNumId w:val="27"/>
  </w:num>
  <w:num w:numId="7">
    <w:abstractNumId w:val="13"/>
  </w:num>
  <w:num w:numId="8">
    <w:abstractNumId w:val="20"/>
  </w:num>
  <w:num w:numId="9">
    <w:abstractNumId w:val="14"/>
  </w:num>
  <w:num w:numId="10">
    <w:abstractNumId w:val="26"/>
  </w:num>
  <w:num w:numId="11">
    <w:abstractNumId w:val="29"/>
  </w:num>
  <w:num w:numId="12">
    <w:abstractNumId w:val="1"/>
  </w:num>
  <w:num w:numId="13">
    <w:abstractNumId w:val="9"/>
  </w:num>
  <w:num w:numId="14">
    <w:abstractNumId w:val="25"/>
  </w:num>
  <w:num w:numId="15">
    <w:abstractNumId w:val="16"/>
  </w:num>
  <w:num w:numId="16">
    <w:abstractNumId w:val="30"/>
  </w:num>
  <w:num w:numId="17">
    <w:abstractNumId w:val="18"/>
  </w:num>
  <w:num w:numId="18">
    <w:abstractNumId w:val="4"/>
  </w:num>
  <w:num w:numId="19">
    <w:abstractNumId w:val="21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0"/>
  </w:num>
  <w:num w:numId="25">
    <w:abstractNumId w:val="11"/>
  </w:num>
  <w:num w:numId="26">
    <w:abstractNumId w:val="10"/>
  </w:num>
  <w:num w:numId="27">
    <w:abstractNumId w:val="6"/>
  </w:num>
  <w:num w:numId="28">
    <w:abstractNumId w:val="19"/>
  </w:num>
  <w:num w:numId="29">
    <w:abstractNumId w:val="8"/>
  </w:num>
  <w:num w:numId="30">
    <w:abstractNumId w:val="28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E8"/>
    <w:rsid w:val="00000799"/>
    <w:rsid w:val="00002262"/>
    <w:rsid w:val="000034DD"/>
    <w:rsid w:val="00003683"/>
    <w:rsid w:val="00003697"/>
    <w:rsid w:val="00003C31"/>
    <w:rsid w:val="00004027"/>
    <w:rsid w:val="00004D91"/>
    <w:rsid w:val="00004E4B"/>
    <w:rsid w:val="000053A2"/>
    <w:rsid w:val="000055A6"/>
    <w:rsid w:val="00005EC2"/>
    <w:rsid w:val="0000647B"/>
    <w:rsid w:val="00006796"/>
    <w:rsid w:val="000114E8"/>
    <w:rsid w:val="00012294"/>
    <w:rsid w:val="00012C11"/>
    <w:rsid w:val="0001307E"/>
    <w:rsid w:val="00013335"/>
    <w:rsid w:val="0001602A"/>
    <w:rsid w:val="00020482"/>
    <w:rsid w:val="00021B0A"/>
    <w:rsid w:val="00023403"/>
    <w:rsid w:val="000252C4"/>
    <w:rsid w:val="00027919"/>
    <w:rsid w:val="00027F37"/>
    <w:rsid w:val="0003066C"/>
    <w:rsid w:val="00030F7E"/>
    <w:rsid w:val="00032272"/>
    <w:rsid w:val="00032D50"/>
    <w:rsid w:val="00034444"/>
    <w:rsid w:val="000400C4"/>
    <w:rsid w:val="00040445"/>
    <w:rsid w:val="00041488"/>
    <w:rsid w:val="0004495A"/>
    <w:rsid w:val="000452A5"/>
    <w:rsid w:val="00045FA3"/>
    <w:rsid w:val="0004624C"/>
    <w:rsid w:val="00050A56"/>
    <w:rsid w:val="000535EC"/>
    <w:rsid w:val="00053E01"/>
    <w:rsid w:val="00054E83"/>
    <w:rsid w:val="000553A4"/>
    <w:rsid w:val="00057454"/>
    <w:rsid w:val="00057625"/>
    <w:rsid w:val="00057DBB"/>
    <w:rsid w:val="00061B5D"/>
    <w:rsid w:val="00065BFE"/>
    <w:rsid w:val="00065F03"/>
    <w:rsid w:val="0006699B"/>
    <w:rsid w:val="00071368"/>
    <w:rsid w:val="000728B0"/>
    <w:rsid w:val="00072E48"/>
    <w:rsid w:val="00075ED6"/>
    <w:rsid w:val="00080031"/>
    <w:rsid w:val="0008292C"/>
    <w:rsid w:val="0008387A"/>
    <w:rsid w:val="000870A0"/>
    <w:rsid w:val="00087209"/>
    <w:rsid w:val="0008722C"/>
    <w:rsid w:val="00090852"/>
    <w:rsid w:val="00090ADA"/>
    <w:rsid w:val="00091A45"/>
    <w:rsid w:val="000920A9"/>
    <w:rsid w:val="0009268F"/>
    <w:rsid w:val="00092920"/>
    <w:rsid w:val="000931D5"/>
    <w:rsid w:val="00093F07"/>
    <w:rsid w:val="000940F3"/>
    <w:rsid w:val="00094B39"/>
    <w:rsid w:val="000960D9"/>
    <w:rsid w:val="00096429"/>
    <w:rsid w:val="000A02E1"/>
    <w:rsid w:val="000A088B"/>
    <w:rsid w:val="000A16B0"/>
    <w:rsid w:val="000A1F82"/>
    <w:rsid w:val="000A20A0"/>
    <w:rsid w:val="000A31E8"/>
    <w:rsid w:val="000A4497"/>
    <w:rsid w:val="000A5CB0"/>
    <w:rsid w:val="000A5DFC"/>
    <w:rsid w:val="000A6217"/>
    <w:rsid w:val="000A6B9B"/>
    <w:rsid w:val="000A6BE7"/>
    <w:rsid w:val="000A72B6"/>
    <w:rsid w:val="000B14A8"/>
    <w:rsid w:val="000B19E8"/>
    <w:rsid w:val="000B25CA"/>
    <w:rsid w:val="000B3659"/>
    <w:rsid w:val="000B3FF2"/>
    <w:rsid w:val="000B44FB"/>
    <w:rsid w:val="000B4783"/>
    <w:rsid w:val="000B5AE7"/>
    <w:rsid w:val="000B6551"/>
    <w:rsid w:val="000B665F"/>
    <w:rsid w:val="000B7C6F"/>
    <w:rsid w:val="000B7CE3"/>
    <w:rsid w:val="000B7DF5"/>
    <w:rsid w:val="000C4B3C"/>
    <w:rsid w:val="000C56E2"/>
    <w:rsid w:val="000C7F59"/>
    <w:rsid w:val="000D038B"/>
    <w:rsid w:val="000D1C61"/>
    <w:rsid w:val="000D2846"/>
    <w:rsid w:val="000D289B"/>
    <w:rsid w:val="000D3A97"/>
    <w:rsid w:val="000D3E36"/>
    <w:rsid w:val="000D41FA"/>
    <w:rsid w:val="000D5857"/>
    <w:rsid w:val="000D58E2"/>
    <w:rsid w:val="000D69BA"/>
    <w:rsid w:val="000D79D8"/>
    <w:rsid w:val="000D7D37"/>
    <w:rsid w:val="000E0AE8"/>
    <w:rsid w:val="000E10AB"/>
    <w:rsid w:val="000E1C36"/>
    <w:rsid w:val="000E40EF"/>
    <w:rsid w:val="000E4C34"/>
    <w:rsid w:val="000E579B"/>
    <w:rsid w:val="000E6676"/>
    <w:rsid w:val="000E74C9"/>
    <w:rsid w:val="000E7798"/>
    <w:rsid w:val="000F16FF"/>
    <w:rsid w:val="000F3481"/>
    <w:rsid w:val="000F3B14"/>
    <w:rsid w:val="000F460E"/>
    <w:rsid w:val="000F50B0"/>
    <w:rsid w:val="000F6006"/>
    <w:rsid w:val="000F67FB"/>
    <w:rsid w:val="000F6D3D"/>
    <w:rsid w:val="00100477"/>
    <w:rsid w:val="001006A4"/>
    <w:rsid w:val="00101411"/>
    <w:rsid w:val="00101933"/>
    <w:rsid w:val="001038A2"/>
    <w:rsid w:val="001041F3"/>
    <w:rsid w:val="001053A4"/>
    <w:rsid w:val="00106DDD"/>
    <w:rsid w:val="001076FB"/>
    <w:rsid w:val="0011046A"/>
    <w:rsid w:val="001117A7"/>
    <w:rsid w:val="0011228F"/>
    <w:rsid w:val="001130A3"/>
    <w:rsid w:val="0011445B"/>
    <w:rsid w:val="00114B39"/>
    <w:rsid w:val="00114F93"/>
    <w:rsid w:val="001157FB"/>
    <w:rsid w:val="00117227"/>
    <w:rsid w:val="00117D39"/>
    <w:rsid w:val="00120065"/>
    <w:rsid w:val="00120672"/>
    <w:rsid w:val="0012327C"/>
    <w:rsid w:val="00123C2E"/>
    <w:rsid w:val="0012439B"/>
    <w:rsid w:val="00124E74"/>
    <w:rsid w:val="00124E81"/>
    <w:rsid w:val="00125CFC"/>
    <w:rsid w:val="001267B5"/>
    <w:rsid w:val="001305ED"/>
    <w:rsid w:val="00130F3F"/>
    <w:rsid w:val="00131801"/>
    <w:rsid w:val="00134FDE"/>
    <w:rsid w:val="0013584C"/>
    <w:rsid w:val="001360AF"/>
    <w:rsid w:val="0013650B"/>
    <w:rsid w:val="0013734C"/>
    <w:rsid w:val="00140CA0"/>
    <w:rsid w:val="001440A9"/>
    <w:rsid w:val="001450BD"/>
    <w:rsid w:val="00145397"/>
    <w:rsid w:val="00145897"/>
    <w:rsid w:val="00146263"/>
    <w:rsid w:val="00146925"/>
    <w:rsid w:val="00146BED"/>
    <w:rsid w:val="00147CD7"/>
    <w:rsid w:val="00150876"/>
    <w:rsid w:val="00150DC4"/>
    <w:rsid w:val="00151525"/>
    <w:rsid w:val="00152F52"/>
    <w:rsid w:val="00153371"/>
    <w:rsid w:val="0015429F"/>
    <w:rsid w:val="00155CF3"/>
    <w:rsid w:val="001560B0"/>
    <w:rsid w:val="00162730"/>
    <w:rsid w:val="00163CF8"/>
    <w:rsid w:val="001664E6"/>
    <w:rsid w:val="00166758"/>
    <w:rsid w:val="0017088E"/>
    <w:rsid w:val="00170D96"/>
    <w:rsid w:val="00174462"/>
    <w:rsid w:val="001759C2"/>
    <w:rsid w:val="00180621"/>
    <w:rsid w:val="001818B4"/>
    <w:rsid w:val="00181F23"/>
    <w:rsid w:val="00182538"/>
    <w:rsid w:val="00182D39"/>
    <w:rsid w:val="0018313F"/>
    <w:rsid w:val="00184A76"/>
    <w:rsid w:val="00185ACD"/>
    <w:rsid w:val="00187AC1"/>
    <w:rsid w:val="001922A7"/>
    <w:rsid w:val="00192CF0"/>
    <w:rsid w:val="0019382C"/>
    <w:rsid w:val="00193B4B"/>
    <w:rsid w:val="00195095"/>
    <w:rsid w:val="00195971"/>
    <w:rsid w:val="001973FC"/>
    <w:rsid w:val="001974C3"/>
    <w:rsid w:val="001A080E"/>
    <w:rsid w:val="001A092D"/>
    <w:rsid w:val="001A0E35"/>
    <w:rsid w:val="001A14B5"/>
    <w:rsid w:val="001A196A"/>
    <w:rsid w:val="001A1AB4"/>
    <w:rsid w:val="001A1D22"/>
    <w:rsid w:val="001A29F4"/>
    <w:rsid w:val="001A2A43"/>
    <w:rsid w:val="001A33CF"/>
    <w:rsid w:val="001A39CE"/>
    <w:rsid w:val="001A4500"/>
    <w:rsid w:val="001A48C0"/>
    <w:rsid w:val="001A4FB3"/>
    <w:rsid w:val="001A5330"/>
    <w:rsid w:val="001A5695"/>
    <w:rsid w:val="001A627F"/>
    <w:rsid w:val="001A6387"/>
    <w:rsid w:val="001A6737"/>
    <w:rsid w:val="001A6FDB"/>
    <w:rsid w:val="001A7512"/>
    <w:rsid w:val="001B058E"/>
    <w:rsid w:val="001B103B"/>
    <w:rsid w:val="001B12AD"/>
    <w:rsid w:val="001B15A5"/>
    <w:rsid w:val="001B17BF"/>
    <w:rsid w:val="001B1E42"/>
    <w:rsid w:val="001B2C1C"/>
    <w:rsid w:val="001B3B36"/>
    <w:rsid w:val="001B43B6"/>
    <w:rsid w:val="001B4517"/>
    <w:rsid w:val="001B49D4"/>
    <w:rsid w:val="001B56E7"/>
    <w:rsid w:val="001B5A0F"/>
    <w:rsid w:val="001B5C9D"/>
    <w:rsid w:val="001B6FC8"/>
    <w:rsid w:val="001B7658"/>
    <w:rsid w:val="001B791B"/>
    <w:rsid w:val="001C0E85"/>
    <w:rsid w:val="001C184D"/>
    <w:rsid w:val="001C3249"/>
    <w:rsid w:val="001C341B"/>
    <w:rsid w:val="001C3703"/>
    <w:rsid w:val="001C3DE8"/>
    <w:rsid w:val="001C6DBE"/>
    <w:rsid w:val="001C7FFE"/>
    <w:rsid w:val="001D0D85"/>
    <w:rsid w:val="001D333C"/>
    <w:rsid w:val="001D7B2C"/>
    <w:rsid w:val="001E06EC"/>
    <w:rsid w:val="001E0D52"/>
    <w:rsid w:val="001E3763"/>
    <w:rsid w:val="001E3D3C"/>
    <w:rsid w:val="001E608D"/>
    <w:rsid w:val="001E7756"/>
    <w:rsid w:val="001F088A"/>
    <w:rsid w:val="001F0C7F"/>
    <w:rsid w:val="001F21C4"/>
    <w:rsid w:val="001F21EC"/>
    <w:rsid w:val="001F2E1A"/>
    <w:rsid w:val="001F3020"/>
    <w:rsid w:val="001F3CD9"/>
    <w:rsid w:val="001F752B"/>
    <w:rsid w:val="001F78CB"/>
    <w:rsid w:val="001F7B60"/>
    <w:rsid w:val="002000AC"/>
    <w:rsid w:val="0020362E"/>
    <w:rsid w:val="00203FA1"/>
    <w:rsid w:val="00204076"/>
    <w:rsid w:val="002046E1"/>
    <w:rsid w:val="00204CA6"/>
    <w:rsid w:val="00206FF2"/>
    <w:rsid w:val="0020791E"/>
    <w:rsid w:val="00211C6A"/>
    <w:rsid w:val="00212C82"/>
    <w:rsid w:val="00212DC4"/>
    <w:rsid w:val="00212DDC"/>
    <w:rsid w:val="002132E6"/>
    <w:rsid w:val="00214900"/>
    <w:rsid w:val="0021491C"/>
    <w:rsid w:val="00215BD7"/>
    <w:rsid w:val="00216815"/>
    <w:rsid w:val="00216A1A"/>
    <w:rsid w:val="0022196A"/>
    <w:rsid w:val="00222194"/>
    <w:rsid w:val="0022363F"/>
    <w:rsid w:val="00224B29"/>
    <w:rsid w:val="002253D6"/>
    <w:rsid w:val="0022626F"/>
    <w:rsid w:val="00230BC1"/>
    <w:rsid w:val="00230C89"/>
    <w:rsid w:val="00232A2F"/>
    <w:rsid w:val="002331FA"/>
    <w:rsid w:val="00234911"/>
    <w:rsid w:val="002406C3"/>
    <w:rsid w:val="00243773"/>
    <w:rsid w:val="00243FAB"/>
    <w:rsid w:val="0024567E"/>
    <w:rsid w:val="0024571D"/>
    <w:rsid w:val="00247293"/>
    <w:rsid w:val="0024742D"/>
    <w:rsid w:val="00250E24"/>
    <w:rsid w:val="00253846"/>
    <w:rsid w:val="00255245"/>
    <w:rsid w:val="00255CE5"/>
    <w:rsid w:val="00260CF0"/>
    <w:rsid w:val="00261782"/>
    <w:rsid w:val="00262D92"/>
    <w:rsid w:val="00263347"/>
    <w:rsid w:val="00263A68"/>
    <w:rsid w:val="00263A9B"/>
    <w:rsid w:val="002648AE"/>
    <w:rsid w:val="0026552A"/>
    <w:rsid w:val="00265B50"/>
    <w:rsid w:val="00266269"/>
    <w:rsid w:val="0026739E"/>
    <w:rsid w:val="00267D71"/>
    <w:rsid w:val="00271AC4"/>
    <w:rsid w:val="00273058"/>
    <w:rsid w:val="002730A8"/>
    <w:rsid w:val="002738E7"/>
    <w:rsid w:val="00274F3E"/>
    <w:rsid w:val="00275423"/>
    <w:rsid w:val="002754D1"/>
    <w:rsid w:val="0027557C"/>
    <w:rsid w:val="00275F6E"/>
    <w:rsid w:val="0027664F"/>
    <w:rsid w:val="002766C2"/>
    <w:rsid w:val="002768F0"/>
    <w:rsid w:val="0027737E"/>
    <w:rsid w:val="002776AE"/>
    <w:rsid w:val="00282387"/>
    <w:rsid w:val="00282794"/>
    <w:rsid w:val="002828F0"/>
    <w:rsid w:val="00282979"/>
    <w:rsid w:val="00282995"/>
    <w:rsid w:val="00284241"/>
    <w:rsid w:val="0028477E"/>
    <w:rsid w:val="00285708"/>
    <w:rsid w:val="00286AA2"/>
    <w:rsid w:val="002872A3"/>
    <w:rsid w:val="00287733"/>
    <w:rsid w:val="00290509"/>
    <w:rsid w:val="002909AA"/>
    <w:rsid w:val="0029246F"/>
    <w:rsid w:val="00292E56"/>
    <w:rsid w:val="0029388B"/>
    <w:rsid w:val="002939D4"/>
    <w:rsid w:val="00294128"/>
    <w:rsid w:val="0029422D"/>
    <w:rsid w:val="00294451"/>
    <w:rsid w:val="002954E8"/>
    <w:rsid w:val="0029579B"/>
    <w:rsid w:val="0029669D"/>
    <w:rsid w:val="00297012"/>
    <w:rsid w:val="0029723F"/>
    <w:rsid w:val="002A3D79"/>
    <w:rsid w:val="002A4281"/>
    <w:rsid w:val="002A6CA7"/>
    <w:rsid w:val="002A6ED3"/>
    <w:rsid w:val="002B00D4"/>
    <w:rsid w:val="002B0B7B"/>
    <w:rsid w:val="002B21CD"/>
    <w:rsid w:val="002B336E"/>
    <w:rsid w:val="002B4016"/>
    <w:rsid w:val="002B4992"/>
    <w:rsid w:val="002B657B"/>
    <w:rsid w:val="002B664A"/>
    <w:rsid w:val="002B6932"/>
    <w:rsid w:val="002B6DC7"/>
    <w:rsid w:val="002B72B0"/>
    <w:rsid w:val="002C036F"/>
    <w:rsid w:val="002C0D22"/>
    <w:rsid w:val="002C13FA"/>
    <w:rsid w:val="002C1C4E"/>
    <w:rsid w:val="002C29FB"/>
    <w:rsid w:val="002C44C3"/>
    <w:rsid w:val="002C649E"/>
    <w:rsid w:val="002C67A6"/>
    <w:rsid w:val="002C6A16"/>
    <w:rsid w:val="002C6BBC"/>
    <w:rsid w:val="002C76E0"/>
    <w:rsid w:val="002D02FE"/>
    <w:rsid w:val="002D1E2C"/>
    <w:rsid w:val="002D2FC2"/>
    <w:rsid w:val="002D4324"/>
    <w:rsid w:val="002D5568"/>
    <w:rsid w:val="002D6974"/>
    <w:rsid w:val="002D77FF"/>
    <w:rsid w:val="002D7AB6"/>
    <w:rsid w:val="002E043A"/>
    <w:rsid w:val="002E0E47"/>
    <w:rsid w:val="002E22AA"/>
    <w:rsid w:val="002E2798"/>
    <w:rsid w:val="002E2F08"/>
    <w:rsid w:val="002E3FF8"/>
    <w:rsid w:val="002E4CB6"/>
    <w:rsid w:val="002E53C9"/>
    <w:rsid w:val="002E5F8F"/>
    <w:rsid w:val="002E7201"/>
    <w:rsid w:val="002E792F"/>
    <w:rsid w:val="002E798E"/>
    <w:rsid w:val="002F010B"/>
    <w:rsid w:val="002F0385"/>
    <w:rsid w:val="002F04EB"/>
    <w:rsid w:val="002F062F"/>
    <w:rsid w:val="002F0BA3"/>
    <w:rsid w:val="002F3745"/>
    <w:rsid w:val="002F3DD8"/>
    <w:rsid w:val="002F51D4"/>
    <w:rsid w:val="002F6E3D"/>
    <w:rsid w:val="002F7A02"/>
    <w:rsid w:val="002F7D2E"/>
    <w:rsid w:val="00300AA5"/>
    <w:rsid w:val="003013FD"/>
    <w:rsid w:val="003017D3"/>
    <w:rsid w:val="0030215C"/>
    <w:rsid w:val="003039C6"/>
    <w:rsid w:val="0030455D"/>
    <w:rsid w:val="00305814"/>
    <w:rsid w:val="00310137"/>
    <w:rsid w:val="003103F9"/>
    <w:rsid w:val="0031096E"/>
    <w:rsid w:val="003117A5"/>
    <w:rsid w:val="003140A9"/>
    <w:rsid w:val="00315280"/>
    <w:rsid w:val="0031611B"/>
    <w:rsid w:val="00317176"/>
    <w:rsid w:val="0032025D"/>
    <w:rsid w:val="0032156F"/>
    <w:rsid w:val="00321E42"/>
    <w:rsid w:val="00321EDD"/>
    <w:rsid w:val="003229B3"/>
    <w:rsid w:val="0032306A"/>
    <w:rsid w:val="00323BEB"/>
    <w:rsid w:val="00323E91"/>
    <w:rsid w:val="00324377"/>
    <w:rsid w:val="00325328"/>
    <w:rsid w:val="00326630"/>
    <w:rsid w:val="00327F38"/>
    <w:rsid w:val="0033038A"/>
    <w:rsid w:val="00330946"/>
    <w:rsid w:val="003309E5"/>
    <w:rsid w:val="00331B16"/>
    <w:rsid w:val="003322F0"/>
    <w:rsid w:val="00333250"/>
    <w:rsid w:val="003337E0"/>
    <w:rsid w:val="00334DE2"/>
    <w:rsid w:val="003358AB"/>
    <w:rsid w:val="003358D5"/>
    <w:rsid w:val="00335ADA"/>
    <w:rsid w:val="00337087"/>
    <w:rsid w:val="0033751A"/>
    <w:rsid w:val="003400B9"/>
    <w:rsid w:val="00340B22"/>
    <w:rsid w:val="00341C5E"/>
    <w:rsid w:val="00341DA0"/>
    <w:rsid w:val="00342358"/>
    <w:rsid w:val="00344F3C"/>
    <w:rsid w:val="003458D6"/>
    <w:rsid w:val="003471EF"/>
    <w:rsid w:val="003477E1"/>
    <w:rsid w:val="00347929"/>
    <w:rsid w:val="0035279B"/>
    <w:rsid w:val="00354A6C"/>
    <w:rsid w:val="00357B3D"/>
    <w:rsid w:val="0036006B"/>
    <w:rsid w:val="0036103D"/>
    <w:rsid w:val="00361B3A"/>
    <w:rsid w:val="00362D46"/>
    <w:rsid w:val="003632C8"/>
    <w:rsid w:val="00364A62"/>
    <w:rsid w:val="00364D61"/>
    <w:rsid w:val="003652E2"/>
    <w:rsid w:val="00365621"/>
    <w:rsid w:val="00365AA5"/>
    <w:rsid w:val="00365DD1"/>
    <w:rsid w:val="00366774"/>
    <w:rsid w:val="0036692A"/>
    <w:rsid w:val="00367216"/>
    <w:rsid w:val="00367420"/>
    <w:rsid w:val="003727F6"/>
    <w:rsid w:val="00372D18"/>
    <w:rsid w:val="00372DD8"/>
    <w:rsid w:val="00376943"/>
    <w:rsid w:val="00376AC9"/>
    <w:rsid w:val="00380125"/>
    <w:rsid w:val="0038203C"/>
    <w:rsid w:val="00383D20"/>
    <w:rsid w:val="00383E8A"/>
    <w:rsid w:val="0038427E"/>
    <w:rsid w:val="00384459"/>
    <w:rsid w:val="00384592"/>
    <w:rsid w:val="00386159"/>
    <w:rsid w:val="00386342"/>
    <w:rsid w:val="0038705D"/>
    <w:rsid w:val="0039008C"/>
    <w:rsid w:val="00390EBA"/>
    <w:rsid w:val="003912EF"/>
    <w:rsid w:val="00392B4D"/>
    <w:rsid w:val="00394C35"/>
    <w:rsid w:val="00395A35"/>
    <w:rsid w:val="00396943"/>
    <w:rsid w:val="003A16AD"/>
    <w:rsid w:val="003A26DB"/>
    <w:rsid w:val="003A3379"/>
    <w:rsid w:val="003A3950"/>
    <w:rsid w:val="003A5431"/>
    <w:rsid w:val="003A5CF9"/>
    <w:rsid w:val="003A74F5"/>
    <w:rsid w:val="003A7C9F"/>
    <w:rsid w:val="003B02D4"/>
    <w:rsid w:val="003B052E"/>
    <w:rsid w:val="003B12A2"/>
    <w:rsid w:val="003B2E8B"/>
    <w:rsid w:val="003B327A"/>
    <w:rsid w:val="003B47D4"/>
    <w:rsid w:val="003B4EA1"/>
    <w:rsid w:val="003B5CA7"/>
    <w:rsid w:val="003B5D0F"/>
    <w:rsid w:val="003B6898"/>
    <w:rsid w:val="003B6B4E"/>
    <w:rsid w:val="003C14C9"/>
    <w:rsid w:val="003C1977"/>
    <w:rsid w:val="003C1FF6"/>
    <w:rsid w:val="003C3C80"/>
    <w:rsid w:val="003C4AE9"/>
    <w:rsid w:val="003C5F31"/>
    <w:rsid w:val="003C634A"/>
    <w:rsid w:val="003C6740"/>
    <w:rsid w:val="003C6B96"/>
    <w:rsid w:val="003C7FFA"/>
    <w:rsid w:val="003D003E"/>
    <w:rsid w:val="003D0CA6"/>
    <w:rsid w:val="003D1B4B"/>
    <w:rsid w:val="003D3027"/>
    <w:rsid w:val="003D6E9A"/>
    <w:rsid w:val="003D747F"/>
    <w:rsid w:val="003E0CDC"/>
    <w:rsid w:val="003E19AD"/>
    <w:rsid w:val="003E2E1E"/>
    <w:rsid w:val="003E36B4"/>
    <w:rsid w:val="003E4301"/>
    <w:rsid w:val="003E4A3A"/>
    <w:rsid w:val="003E5A5F"/>
    <w:rsid w:val="003E5C4A"/>
    <w:rsid w:val="003E6882"/>
    <w:rsid w:val="003E7426"/>
    <w:rsid w:val="003E765B"/>
    <w:rsid w:val="003F07CA"/>
    <w:rsid w:val="003F09F2"/>
    <w:rsid w:val="003F17E1"/>
    <w:rsid w:val="003F1A8C"/>
    <w:rsid w:val="003F1C84"/>
    <w:rsid w:val="003F286D"/>
    <w:rsid w:val="003F31B6"/>
    <w:rsid w:val="003F322A"/>
    <w:rsid w:val="003F443D"/>
    <w:rsid w:val="003F4AFF"/>
    <w:rsid w:val="003F58A7"/>
    <w:rsid w:val="003F6609"/>
    <w:rsid w:val="003F6EE1"/>
    <w:rsid w:val="0040099D"/>
    <w:rsid w:val="00401B9A"/>
    <w:rsid w:val="00402D16"/>
    <w:rsid w:val="00402E5C"/>
    <w:rsid w:val="004072C6"/>
    <w:rsid w:val="004074C5"/>
    <w:rsid w:val="00407DD1"/>
    <w:rsid w:val="00412E4F"/>
    <w:rsid w:val="00413739"/>
    <w:rsid w:val="004143F2"/>
    <w:rsid w:val="00414D89"/>
    <w:rsid w:val="00414E70"/>
    <w:rsid w:val="00414F9A"/>
    <w:rsid w:val="0041528D"/>
    <w:rsid w:val="00416182"/>
    <w:rsid w:val="00416641"/>
    <w:rsid w:val="004167F0"/>
    <w:rsid w:val="004177E3"/>
    <w:rsid w:val="00417FC3"/>
    <w:rsid w:val="00420303"/>
    <w:rsid w:val="00420A2A"/>
    <w:rsid w:val="00420A58"/>
    <w:rsid w:val="00420A64"/>
    <w:rsid w:val="00420DD1"/>
    <w:rsid w:val="004226B9"/>
    <w:rsid w:val="00424F88"/>
    <w:rsid w:val="004254DE"/>
    <w:rsid w:val="00425C4C"/>
    <w:rsid w:val="0042672D"/>
    <w:rsid w:val="00427F00"/>
    <w:rsid w:val="00430A4C"/>
    <w:rsid w:val="00430C49"/>
    <w:rsid w:val="00430CDC"/>
    <w:rsid w:val="004313B0"/>
    <w:rsid w:val="00433174"/>
    <w:rsid w:val="00434D5B"/>
    <w:rsid w:val="00435BB6"/>
    <w:rsid w:val="00436AF8"/>
    <w:rsid w:val="00436C3B"/>
    <w:rsid w:val="00441016"/>
    <w:rsid w:val="004412F5"/>
    <w:rsid w:val="00441A9C"/>
    <w:rsid w:val="00441E81"/>
    <w:rsid w:val="00442521"/>
    <w:rsid w:val="00442E3D"/>
    <w:rsid w:val="00443008"/>
    <w:rsid w:val="004448CE"/>
    <w:rsid w:val="004450A2"/>
    <w:rsid w:val="00445F85"/>
    <w:rsid w:val="00446A7E"/>
    <w:rsid w:val="0044777B"/>
    <w:rsid w:val="00447E6E"/>
    <w:rsid w:val="00450190"/>
    <w:rsid w:val="004505B3"/>
    <w:rsid w:val="0045091F"/>
    <w:rsid w:val="00450B48"/>
    <w:rsid w:val="00451D06"/>
    <w:rsid w:val="00453099"/>
    <w:rsid w:val="00454181"/>
    <w:rsid w:val="00454541"/>
    <w:rsid w:val="00455257"/>
    <w:rsid w:val="00456029"/>
    <w:rsid w:val="00457F24"/>
    <w:rsid w:val="0046109A"/>
    <w:rsid w:val="0046124B"/>
    <w:rsid w:val="00461EAB"/>
    <w:rsid w:val="004624D1"/>
    <w:rsid w:val="00462F0E"/>
    <w:rsid w:val="00463DEE"/>
    <w:rsid w:val="00464ED3"/>
    <w:rsid w:val="00466321"/>
    <w:rsid w:val="0046649D"/>
    <w:rsid w:val="00467D75"/>
    <w:rsid w:val="0047063C"/>
    <w:rsid w:val="0047375C"/>
    <w:rsid w:val="00473CB5"/>
    <w:rsid w:val="00473E3A"/>
    <w:rsid w:val="004742C7"/>
    <w:rsid w:val="00475789"/>
    <w:rsid w:val="00475A92"/>
    <w:rsid w:val="00475BD8"/>
    <w:rsid w:val="00477A08"/>
    <w:rsid w:val="00482DC5"/>
    <w:rsid w:val="00487901"/>
    <w:rsid w:val="00491557"/>
    <w:rsid w:val="004918C3"/>
    <w:rsid w:val="00491926"/>
    <w:rsid w:val="0049243F"/>
    <w:rsid w:val="00492487"/>
    <w:rsid w:val="00493DDD"/>
    <w:rsid w:val="00494545"/>
    <w:rsid w:val="00495D90"/>
    <w:rsid w:val="00495F64"/>
    <w:rsid w:val="00496998"/>
    <w:rsid w:val="004973AB"/>
    <w:rsid w:val="00497763"/>
    <w:rsid w:val="00497D59"/>
    <w:rsid w:val="004A039B"/>
    <w:rsid w:val="004A0D63"/>
    <w:rsid w:val="004A2AD1"/>
    <w:rsid w:val="004A52FC"/>
    <w:rsid w:val="004A5769"/>
    <w:rsid w:val="004A70DA"/>
    <w:rsid w:val="004B03A4"/>
    <w:rsid w:val="004B1B1A"/>
    <w:rsid w:val="004B2FC4"/>
    <w:rsid w:val="004B3B62"/>
    <w:rsid w:val="004B404C"/>
    <w:rsid w:val="004B4E3E"/>
    <w:rsid w:val="004B5685"/>
    <w:rsid w:val="004B5851"/>
    <w:rsid w:val="004B6237"/>
    <w:rsid w:val="004B69C7"/>
    <w:rsid w:val="004B6BB5"/>
    <w:rsid w:val="004B7369"/>
    <w:rsid w:val="004C0517"/>
    <w:rsid w:val="004C234B"/>
    <w:rsid w:val="004C64CD"/>
    <w:rsid w:val="004C70C3"/>
    <w:rsid w:val="004D1121"/>
    <w:rsid w:val="004D139B"/>
    <w:rsid w:val="004D3849"/>
    <w:rsid w:val="004D39E1"/>
    <w:rsid w:val="004D3A93"/>
    <w:rsid w:val="004D5144"/>
    <w:rsid w:val="004D5651"/>
    <w:rsid w:val="004D5EB3"/>
    <w:rsid w:val="004E065B"/>
    <w:rsid w:val="004E0BC2"/>
    <w:rsid w:val="004E1909"/>
    <w:rsid w:val="004E37E5"/>
    <w:rsid w:val="004E5D43"/>
    <w:rsid w:val="004E6400"/>
    <w:rsid w:val="004E74B3"/>
    <w:rsid w:val="004E7583"/>
    <w:rsid w:val="004F21B6"/>
    <w:rsid w:val="004F2CE6"/>
    <w:rsid w:val="004F522A"/>
    <w:rsid w:val="004F5537"/>
    <w:rsid w:val="004F5E48"/>
    <w:rsid w:val="004F5E59"/>
    <w:rsid w:val="004F72A8"/>
    <w:rsid w:val="00501791"/>
    <w:rsid w:val="00501801"/>
    <w:rsid w:val="005041EB"/>
    <w:rsid w:val="0050691C"/>
    <w:rsid w:val="00507617"/>
    <w:rsid w:val="005108AC"/>
    <w:rsid w:val="00510A6E"/>
    <w:rsid w:val="0051126A"/>
    <w:rsid w:val="00512128"/>
    <w:rsid w:val="00512B16"/>
    <w:rsid w:val="0051367A"/>
    <w:rsid w:val="00514486"/>
    <w:rsid w:val="00517197"/>
    <w:rsid w:val="00517829"/>
    <w:rsid w:val="0051784B"/>
    <w:rsid w:val="005200AF"/>
    <w:rsid w:val="00520CDA"/>
    <w:rsid w:val="005217D9"/>
    <w:rsid w:val="005221D1"/>
    <w:rsid w:val="0052221D"/>
    <w:rsid w:val="005226E6"/>
    <w:rsid w:val="0052458B"/>
    <w:rsid w:val="0052730D"/>
    <w:rsid w:val="00527D47"/>
    <w:rsid w:val="00527ECC"/>
    <w:rsid w:val="00527FDF"/>
    <w:rsid w:val="00530222"/>
    <w:rsid w:val="00531E98"/>
    <w:rsid w:val="005334C3"/>
    <w:rsid w:val="00533614"/>
    <w:rsid w:val="00534247"/>
    <w:rsid w:val="00534A9F"/>
    <w:rsid w:val="00534AEF"/>
    <w:rsid w:val="005351A2"/>
    <w:rsid w:val="00535271"/>
    <w:rsid w:val="00535A79"/>
    <w:rsid w:val="00535F20"/>
    <w:rsid w:val="00537F09"/>
    <w:rsid w:val="00540153"/>
    <w:rsid w:val="0054023D"/>
    <w:rsid w:val="005408FB"/>
    <w:rsid w:val="005418FD"/>
    <w:rsid w:val="00542347"/>
    <w:rsid w:val="00542E19"/>
    <w:rsid w:val="005438F1"/>
    <w:rsid w:val="00543C3C"/>
    <w:rsid w:val="005458FC"/>
    <w:rsid w:val="00550EAF"/>
    <w:rsid w:val="00552CFE"/>
    <w:rsid w:val="00552FAC"/>
    <w:rsid w:val="00555987"/>
    <w:rsid w:val="005569C4"/>
    <w:rsid w:val="0055701D"/>
    <w:rsid w:val="00557726"/>
    <w:rsid w:val="00564185"/>
    <w:rsid w:val="00564A79"/>
    <w:rsid w:val="005663CD"/>
    <w:rsid w:val="00570429"/>
    <w:rsid w:val="0057084F"/>
    <w:rsid w:val="00572DD9"/>
    <w:rsid w:val="00573CEF"/>
    <w:rsid w:val="00574115"/>
    <w:rsid w:val="00574442"/>
    <w:rsid w:val="00575039"/>
    <w:rsid w:val="0057590F"/>
    <w:rsid w:val="0057748D"/>
    <w:rsid w:val="0057749E"/>
    <w:rsid w:val="00580F07"/>
    <w:rsid w:val="00582257"/>
    <w:rsid w:val="0058263E"/>
    <w:rsid w:val="005842F5"/>
    <w:rsid w:val="00584C95"/>
    <w:rsid w:val="0058634E"/>
    <w:rsid w:val="00586DB3"/>
    <w:rsid w:val="005871BD"/>
    <w:rsid w:val="005872AC"/>
    <w:rsid w:val="00590D61"/>
    <w:rsid w:val="005916CD"/>
    <w:rsid w:val="00591942"/>
    <w:rsid w:val="005926C4"/>
    <w:rsid w:val="00592756"/>
    <w:rsid w:val="00592C15"/>
    <w:rsid w:val="00592C28"/>
    <w:rsid w:val="0059327B"/>
    <w:rsid w:val="00593AE9"/>
    <w:rsid w:val="00593FAD"/>
    <w:rsid w:val="005941E2"/>
    <w:rsid w:val="00594484"/>
    <w:rsid w:val="00594D09"/>
    <w:rsid w:val="00594E78"/>
    <w:rsid w:val="00595A35"/>
    <w:rsid w:val="005964DF"/>
    <w:rsid w:val="00596EBC"/>
    <w:rsid w:val="00597EBB"/>
    <w:rsid w:val="005A029D"/>
    <w:rsid w:val="005A0D74"/>
    <w:rsid w:val="005A30F5"/>
    <w:rsid w:val="005A3368"/>
    <w:rsid w:val="005A3A81"/>
    <w:rsid w:val="005A4A86"/>
    <w:rsid w:val="005A60F7"/>
    <w:rsid w:val="005A6DD5"/>
    <w:rsid w:val="005B2835"/>
    <w:rsid w:val="005B2D15"/>
    <w:rsid w:val="005B3CE9"/>
    <w:rsid w:val="005B63A7"/>
    <w:rsid w:val="005B6469"/>
    <w:rsid w:val="005B7676"/>
    <w:rsid w:val="005B78A1"/>
    <w:rsid w:val="005C0DB7"/>
    <w:rsid w:val="005C1EAE"/>
    <w:rsid w:val="005C208D"/>
    <w:rsid w:val="005C2782"/>
    <w:rsid w:val="005C2976"/>
    <w:rsid w:val="005C2CB6"/>
    <w:rsid w:val="005C2FC1"/>
    <w:rsid w:val="005C33D2"/>
    <w:rsid w:val="005C47CC"/>
    <w:rsid w:val="005C493D"/>
    <w:rsid w:val="005D0CB1"/>
    <w:rsid w:val="005D1028"/>
    <w:rsid w:val="005D1DBF"/>
    <w:rsid w:val="005D202A"/>
    <w:rsid w:val="005D25F3"/>
    <w:rsid w:val="005D2D1D"/>
    <w:rsid w:val="005D4550"/>
    <w:rsid w:val="005D51BB"/>
    <w:rsid w:val="005D607E"/>
    <w:rsid w:val="005E063E"/>
    <w:rsid w:val="005E13D9"/>
    <w:rsid w:val="005E2BC0"/>
    <w:rsid w:val="005E2BC5"/>
    <w:rsid w:val="005E4B7E"/>
    <w:rsid w:val="005E5D96"/>
    <w:rsid w:val="005E7C8A"/>
    <w:rsid w:val="005F0413"/>
    <w:rsid w:val="005F1DEB"/>
    <w:rsid w:val="005F2FCF"/>
    <w:rsid w:val="005F3315"/>
    <w:rsid w:val="005F4606"/>
    <w:rsid w:val="005F4935"/>
    <w:rsid w:val="005F514A"/>
    <w:rsid w:val="005F53C9"/>
    <w:rsid w:val="005F5D89"/>
    <w:rsid w:val="005F7C7E"/>
    <w:rsid w:val="005F7F67"/>
    <w:rsid w:val="00600A0B"/>
    <w:rsid w:val="006021A1"/>
    <w:rsid w:val="00603003"/>
    <w:rsid w:val="00604CBD"/>
    <w:rsid w:val="00605A62"/>
    <w:rsid w:val="00605ECC"/>
    <w:rsid w:val="00606628"/>
    <w:rsid w:val="006074D3"/>
    <w:rsid w:val="00611676"/>
    <w:rsid w:val="006129E1"/>
    <w:rsid w:val="00612C9A"/>
    <w:rsid w:val="006135CC"/>
    <w:rsid w:val="006152CD"/>
    <w:rsid w:val="0061717F"/>
    <w:rsid w:val="006200B5"/>
    <w:rsid w:val="00620158"/>
    <w:rsid w:val="006204A3"/>
    <w:rsid w:val="00620857"/>
    <w:rsid w:val="00621D65"/>
    <w:rsid w:val="00626A4D"/>
    <w:rsid w:val="00626B32"/>
    <w:rsid w:val="0062747F"/>
    <w:rsid w:val="006309EA"/>
    <w:rsid w:val="00630D71"/>
    <w:rsid w:val="00631FBC"/>
    <w:rsid w:val="00633C23"/>
    <w:rsid w:val="00633F8D"/>
    <w:rsid w:val="0063434A"/>
    <w:rsid w:val="00634530"/>
    <w:rsid w:val="00634E91"/>
    <w:rsid w:val="00635858"/>
    <w:rsid w:val="00636017"/>
    <w:rsid w:val="00636CB9"/>
    <w:rsid w:val="00640573"/>
    <w:rsid w:val="00640894"/>
    <w:rsid w:val="00640A95"/>
    <w:rsid w:val="00640C40"/>
    <w:rsid w:val="00641DC1"/>
    <w:rsid w:val="00642097"/>
    <w:rsid w:val="006428DD"/>
    <w:rsid w:val="00645E7D"/>
    <w:rsid w:val="0064731F"/>
    <w:rsid w:val="006501E5"/>
    <w:rsid w:val="00650CF9"/>
    <w:rsid w:val="00651ADE"/>
    <w:rsid w:val="00651FE4"/>
    <w:rsid w:val="00651FE5"/>
    <w:rsid w:val="0065271D"/>
    <w:rsid w:val="00653D99"/>
    <w:rsid w:val="00654DEE"/>
    <w:rsid w:val="00654F55"/>
    <w:rsid w:val="00656119"/>
    <w:rsid w:val="0065791D"/>
    <w:rsid w:val="00661369"/>
    <w:rsid w:val="00664F94"/>
    <w:rsid w:val="00664FA0"/>
    <w:rsid w:val="00665DC0"/>
    <w:rsid w:val="006661E6"/>
    <w:rsid w:val="00666B46"/>
    <w:rsid w:val="006701ED"/>
    <w:rsid w:val="00670ED3"/>
    <w:rsid w:val="00671416"/>
    <w:rsid w:val="006723CA"/>
    <w:rsid w:val="0067272D"/>
    <w:rsid w:val="0067369C"/>
    <w:rsid w:val="00680073"/>
    <w:rsid w:val="006802BA"/>
    <w:rsid w:val="00682194"/>
    <w:rsid w:val="0068291C"/>
    <w:rsid w:val="00682F76"/>
    <w:rsid w:val="00686F48"/>
    <w:rsid w:val="00691361"/>
    <w:rsid w:val="006917DA"/>
    <w:rsid w:val="00691FF8"/>
    <w:rsid w:val="00692E30"/>
    <w:rsid w:val="00693194"/>
    <w:rsid w:val="00693626"/>
    <w:rsid w:val="0069393C"/>
    <w:rsid w:val="00694F55"/>
    <w:rsid w:val="006974AA"/>
    <w:rsid w:val="00697B4B"/>
    <w:rsid w:val="006A04B9"/>
    <w:rsid w:val="006A06EB"/>
    <w:rsid w:val="006A16B6"/>
    <w:rsid w:val="006A3744"/>
    <w:rsid w:val="006A3F7C"/>
    <w:rsid w:val="006A47B6"/>
    <w:rsid w:val="006A4FCB"/>
    <w:rsid w:val="006A556C"/>
    <w:rsid w:val="006A5BA2"/>
    <w:rsid w:val="006A622E"/>
    <w:rsid w:val="006A721C"/>
    <w:rsid w:val="006B05F1"/>
    <w:rsid w:val="006B1628"/>
    <w:rsid w:val="006B1741"/>
    <w:rsid w:val="006B5845"/>
    <w:rsid w:val="006C1312"/>
    <w:rsid w:val="006C1934"/>
    <w:rsid w:val="006C1C49"/>
    <w:rsid w:val="006C2324"/>
    <w:rsid w:val="006C2DFB"/>
    <w:rsid w:val="006C496C"/>
    <w:rsid w:val="006C62F1"/>
    <w:rsid w:val="006C6B92"/>
    <w:rsid w:val="006C7BA4"/>
    <w:rsid w:val="006D0FD7"/>
    <w:rsid w:val="006D1093"/>
    <w:rsid w:val="006D1967"/>
    <w:rsid w:val="006D26C9"/>
    <w:rsid w:val="006D2DA8"/>
    <w:rsid w:val="006D3E6D"/>
    <w:rsid w:val="006D4099"/>
    <w:rsid w:val="006D5034"/>
    <w:rsid w:val="006D655F"/>
    <w:rsid w:val="006D704F"/>
    <w:rsid w:val="006D7287"/>
    <w:rsid w:val="006D7626"/>
    <w:rsid w:val="006E3682"/>
    <w:rsid w:val="006E39D2"/>
    <w:rsid w:val="006E49DB"/>
    <w:rsid w:val="006E4C27"/>
    <w:rsid w:val="006E4DD3"/>
    <w:rsid w:val="006E59FC"/>
    <w:rsid w:val="006E66D9"/>
    <w:rsid w:val="006E6E80"/>
    <w:rsid w:val="006E7D24"/>
    <w:rsid w:val="006F15DD"/>
    <w:rsid w:val="006F285E"/>
    <w:rsid w:val="006F3405"/>
    <w:rsid w:val="006F3C68"/>
    <w:rsid w:val="006F4AE9"/>
    <w:rsid w:val="006F5E5C"/>
    <w:rsid w:val="006F5EDB"/>
    <w:rsid w:val="006F6362"/>
    <w:rsid w:val="006F63BA"/>
    <w:rsid w:val="006F6480"/>
    <w:rsid w:val="006F6ED8"/>
    <w:rsid w:val="006F7348"/>
    <w:rsid w:val="006F7BDF"/>
    <w:rsid w:val="006F7FC7"/>
    <w:rsid w:val="007015A3"/>
    <w:rsid w:val="00701ED3"/>
    <w:rsid w:val="0070254D"/>
    <w:rsid w:val="00702DF7"/>
    <w:rsid w:val="00703F36"/>
    <w:rsid w:val="007049A2"/>
    <w:rsid w:val="00704AFA"/>
    <w:rsid w:val="00704F1A"/>
    <w:rsid w:val="007053BB"/>
    <w:rsid w:val="00705910"/>
    <w:rsid w:val="0070592E"/>
    <w:rsid w:val="00707120"/>
    <w:rsid w:val="007103B2"/>
    <w:rsid w:val="0071185E"/>
    <w:rsid w:val="00713A0F"/>
    <w:rsid w:val="00714BF8"/>
    <w:rsid w:val="007153AD"/>
    <w:rsid w:val="0071686B"/>
    <w:rsid w:val="00717C52"/>
    <w:rsid w:val="00720146"/>
    <w:rsid w:val="007214BD"/>
    <w:rsid w:val="0072154F"/>
    <w:rsid w:val="0072158F"/>
    <w:rsid w:val="00721D1C"/>
    <w:rsid w:val="0072343E"/>
    <w:rsid w:val="00723756"/>
    <w:rsid w:val="007240EE"/>
    <w:rsid w:val="007244DA"/>
    <w:rsid w:val="00724685"/>
    <w:rsid w:val="007246C9"/>
    <w:rsid w:val="007254F2"/>
    <w:rsid w:val="007255E3"/>
    <w:rsid w:val="007264C3"/>
    <w:rsid w:val="00726EFB"/>
    <w:rsid w:val="00727BFA"/>
    <w:rsid w:val="00732CAE"/>
    <w:rsid w:val="00732E6B"/>
    <w:rsid w:val="00733B5C"/>
    <w:rsid w:val="00734456"/>
    <w:rsid w:val="0073542A"/>
    <w:rsid w:val="0073558E"/>
    <w:rsid w:val="00736F81"/>
    <w:rsid w:val="0073705E"/>
    <w:rsid w:val="007376FD"/>
    <w:rsid w:val="00737869"/>
    <w:rsid w:val="0074006C"/>
    <w:rsid w:val="007407FE"/>
    <w:rsid w:val="00740ACE"/>
    <w:rsid w:val="00740D92"/>
    <w:rsid w:val="0074133D"/>
    <w:rsid w:val="0074245A"/>
    <w:rsid w:val="00742D5F"/>
    <w:rsid w:val="007442B4"/>
    <w:rsid w:val="007445BC"/>
    <w:rsid w:val="00744999"/>
    <w:rsid w:val="00744A12"/>
    <w:rsid w:val="00744A68"/>
    <w:rsid w:val="0074566A"/>
    <w:rsid w:val="00745CAC"/>
    <w:rsid w:val="00747314"/>
    <w:rsid w:val="00747977"/>
    <w:rsid w:val="00747E11"/>
    <w:rsid w:val="007501D0"/>
    <w:rsid w:val="00750877"/>
    <w:rsid w:val="00752086"/>
    <w:rsid w:val="007568FC"/>
    <w:rsid w:val="0075764D"/>
    <w:rsid w:val="00757731"/>
    <w:rsid w:val="0075774E"/>
    <w:rsid w:val="00760F7F"/>
    <w:rsid w:val="007616A8"/>
    <w:rsid w:val="00762CF4"/>
    <w:rsid w:val="00763869"/>
    <w:rsid w:val="0076558E"/>
    <w:rsid w:val="00766044"/>
    <w:rsid w:val="00771AC6"/>
    <w:rsid w:val="00772D44"/>
    <w:rsid w:val="00773A1A"/>
    <w:rsid w:val="00773A34"/>
    <w:rsid w:val="00773F71"/>
    <w:rsid w:val="00777707"/>
    <w:rsid w:val="007778B8"/>
    <w:rsid w:val="007802DA"/>
    <w:rsid w:val="007832FA"/>
    <w:rsid w:val="00783539"/>
    <w:rsid w:val="00783A81"/>
    <w:rsid w:val="00783F72"/>
    <w:rsid w:val="007844AB"/>
    <w:rsid w:val="007857A1"/>
    <w:rsid w:val="00786677"/>
    <w:rsid w:val="00786F29"/>
    <w:rsid w:val="00787C8E"/>
    <w:rsid w:val="0079079E"/>
    <w:rsid w:val="00790F36"/>
    <w:rsid w:val="0079135F"/>
    <w:rsid w:val="0079278E"/>
    <w:rsid w:val="00793788"/>
    <w:rsid w:val="0079424F"/>
    <w:rsid w:val="00794612"/>
    <w:rsid w:val="007955C3"/>
    <w:rsid w:val="00796EA0"/>
    <w:rsid w:val="007971C4"/>
    <w:rsid w:val="00797C7C"/>
    <w:rsid w:val="007A0116"/>
    <w:rsid w:val="007A032D"/>
    <w:rsid w:val="007A1175"/>
    <w:rsid w:val="007A391D"/>
    <w:rsid w:val="007A403E"/>
    <w:rsid w:val="007A4C76"/>
    <w:rsid w:val="007A53A0"/>
    <w:rsid w:val="007A56E7"/>
    <w:rsid w:val="007A6622"/>
    <w:rsid w:val="007A67EC"/>
    <w:rsid w:val="007A75DC"/>
    <w:rsid w:val="007A7B19"/>
    <w:rsid w:val="007B0C6A"/>
    <w:rsid w:val="007B24B3"/>
    <w:rsid w:val="007B3854"/>
    <w:rsid w:val="007B38CD"/>
    <w:rsid w:val="007B3D2C"/>
    <w:rsid w:val="007B42D8"/>
    <w:rsid w:val="007B4CEF"/>
    <w:rsid w:val="007B714C"/>
    <w:rsid w:val="007B755F"/>
    <w:rsid w:val="007C0D01"/>
    <w:rsid w:val="007C26E7"/>
    <w:rsid w:val="007C4E58"/>
    <w:rsid w:val="007C505D"/>
    <w:rsid w:val="007C66BF"/>
    <w:rsid w:val="007D2876"/>
    <w:rsid w:val="007D29FA"/>
    <w:rsid w:val="007D3AFA"/>
    <w:rsid w:val="007D46E4"/>
    <w:rsid w:val="007D4C6E"/>
    <w:rsid w:val="007D6A46"/>
    <w:rsid w:val="007D6EE3"/>
    <w:rsid w:val="007D7204"/>
    <w:rsid w:val="007E0916"/>
    <w:rsid w:val="007E257E"/>
    <w:rsid w:val="007E5E73"/>
    <w:rsid w:val="007E615A"/>
    <w:rsid w:val="007E6501"/>
    <w:rsid w:val="007E796A"/>
    <w:rsid w:val="007F2A97"/>
    <w:rsid w:val="007F2ED0"/>
    <w:rsid w:val="007F358D"/>
    <w:rsid w:val="007F48E8"/>
    <w:rsid w:val="007F520F"/>
    <w:rsid w:val="007F6A10"/>
    <w:rsid w:val="007F70F4"/>
    <w:rsid w:val="00801549"/>
    <w:rsid w:val="00801801"/>
    <w:rsid w:val="008064F0"/>
    <w:rsid w:val="0080688E"/>
    <w:rsid w:val="00811F6B"/>
    <w:rsid w:val="008128DC"/>
    <w:rsid w:val="008131D0"/>
    <w:rsid w:val="0081471D"/>
    <w:rsid w:val="008173C2"/>
    <w:rsid w:val="008204EE"/>
    <w:rsid w:val="00820BB4"/>
    <w:rsid w:val="008210FC"/>
    <w:rsid w:val="00821185"/>
    <w:rsid w:val="008229EC"/>
    <w:rsid w:val="008243CC"/>
    <w:rsid w:val="0082596F"/>
    <w:rsid w:val="008267F5"/>
    <w:rsid w:val="00826CDE"/>
    <w:rsid w:val="0083108E"/>
    <w:rsid w:val="008316AC"/>
    <w:rsid w:val="008351C3"/>
    <w:rsid w:val="0083689A"/>
    <w:rsid w:val="00836D84"/>
    <w:rsid w:val="008375E0"/>
    <w:rsid w:val="00837F34"/>
    <w:rsid w:val="0084081A"/>
    <w:rsid w:val="00840C0E"/>
    <w:rsid w:val="008417E5"/>
    <w:rsid w:val="008421C9"/>
    <w:rsid w:val="008422B9"/>
    <w:rsid w:val="008430C8"/>
    <w:rsid w:val="00843DD2"/>
    <w:rsid w:val="0084454E"/>
    <w:rsid w:val="00847019"/>
    <w:rsid w:val="00847B4C"/>
    <w:rsid w:val="0085169F"/>
    <w:rsid w:val="00852942"/>
    <w:rsid w:val="00852FA4"/>
    <w:rsid w:val="0085512C"/>
    <w:rsid w:val="00855283"/>
    <w:rsid w:val="008559E1"/>
    <w:rsid w:val="00855A2B"/>
    <w:rsid w:val="00860157"/>
    <w:rsid w:val="008605F0"/>
    <w:rsid w:val="008610BB"/>
    <w:rsid w:val="008618CE"/>
    <w:rsid w:val="0086244B"/>
    <w:rsid w:val="008624CF"/>
    <w:rsid w:val="0086454F"/>
    <w:rsid w:val="00866D00"/>
    <w:rsid w:val="00867096"/>
    <w:rsid w:val="00867102"/>
    <w:rsid w:val="00870622"/>
    <w:rsid w:val="0087141E"/>
    <w:rsid w:val="008729D9"/>
    <w:rsid w:val="00873259"/>
    <w:rsid w:val="00873527"/>
    <w:rsid w:val="00874093"/>
    <w:rsid w:val="008744FF"/>
    <w:rsid w:val="008750A3"/>
    <w:rsid w:val="00876408"/>
    <w:rsid w:val="00876C85"/>
    <w:rsid w:val="00876F66"/>
    <w:rsid w:val="00880561"/>
    <w:rsid w:val="00880591"/>
    <w:rsid w:val="008810C4"/>
    <w:rsid w:val="00881680"/>
    <w:rsid w:val="0088171F"/>
    <w:rsid w:val="00881BF4"/>
    <w:rsid w:val="0088298B"/>
    <w:rsid w:val="00882ED5"/>
    <w:rsid w:val="00883BEC"/>
    <w:rsid w:val="00883CE5"/>
    <w:rsid w:val="008840BE"/>
    <w:rsid w:val="00884E62"/>
    <w:rsid w:val="00885841"/>
    <w:rsid w:val="00885D73"/>
    <w:rsid w:val="00886077"/>
    <w:rsid w:val="008862BC"/>
    <w:rsid w:val="0088703C"/>
    <w:rsid w:val="00891933"/>
    <w:rsid w:val="008924A7"/>
    <w:rsid w:val="00894820"/>
    <w:rsid w:val="0089661B"/>
    <w:rsid w:val="00897E88"/>
    <w:rsid w:val="008A1885"/>
    <w:rsid w:val="008A1F53"/>
    <w:rsid w:val="008A224C"/>
    <w:rsid w:val="008A3F5B"/>
    <w:rsid w:val="008A515F"/>
    <w:rsid w:val="008A63FC"/>
    <w:rsid w:val="008A67BA"/>
    <w:rsid w:val="008A6AB0"/>
    <w:rsid w:val="008B06F2"/>
    <w:rsid w:val="008B1623"/>
    <w:rsid w:val="008B1836"/>
    <w:rsid w:val="008B2BEF"/>
    <w:rsid w:val="008B2E6D"/>
    <w:rsid w:val="008B3345"/>
    <w:rsid w:val="008B4CF5"/>
    <w:rsid w:val="008B59C4"/>
    <w:rsid w:val="008B62FD"/>
    <w:rsid w:val="008B7B23"/>
    <w:rsid w:val="008B7B99"/>
    <w:rsid w:val="008B7FDE"/>
    <w:rsid w:val="008C2580"/>
    <w:rsid w:val="008C2DB9"/>
    <w:rsid w:val="008C388B"/>
    <w:rsid w:val="008C64F4"/>
    <w:rsid w:val="008C7653"/>
    <w:rsid w:val="008D059D"/>
    <w:rsid w:val="008D0C19"/>
    <w:rsid w:val="008D1A30"/>
    <w:rsid w:val="008D382D"/>
    <w:rsid w:val="008D3EA0"/>
    <w:rsid w:val="008D498D"/>
    <w:rsid w:val="008E0689"/>
    <w:rsid w:val="008E2491"/>
    <w:rsid w:val="008E316B"/>
    <w:rsid w:val="008E4458"/>
    <w:rsid w:val="008E5278"/>
    <w:rsid w:val="008E68E7"/>
    <w:rsid w:val="008E6F97"/>
    <w:rsid w:val="008E7070"/>
    <w:rsid w:val="008F0159"/>
    <w:rsid w:val="008F1670"/>
    <w:rsid w:val="008F1F49"/>
    <w:rsid w:val="008F23E1"/>
    <w:rsid w:val="008F6291"/>
    <w:rsid w:val="008F7D9A"/>
    <w:rsid w:val="00902171"/>
    <w:rsid w:val="009028FC"/>
    <w:rsid w:val="00906EDE"/>
    <w:rsid w:val="00907588"/>
    <w:rsid w:val="009102C9"/>
    <w:rsid w:val="009118EA"/>
    <w:rsid w:val="00911977"/>
    <w:rsid w:val="00912130"/>
    <w:rsid w:val="009124F7"/>
    <w:rsid w:val="009129D3"/>
    <w:rsid w:val="00913249"/>
    <w:rsid w:val="009147AF"/>
    <w:rsid w:val="00914C33"/>
    <w:rsid w:val="0091504C"/>
    <w:rsid w:val="00917A29"/>
    <w:rsid w:val="009215A8"/>
    <w:rsid w:val="00923439"/>
    <w:rsid w:val="00924AD4"/>
    <w:rsid w:val="00925865"/>
    <w:rsid w:val="00925D04"/>
    <w:rsid w:val="0092654C"/>
    <w:rsid w:val="00927645"/>
    <w:rsid w:val="009278A9"/>
    <w:rsid w:val="00930E9D"/>
    <w:rsid w:val="009314CD"/>
    <w:rsid w:val="009348CE"/>
    <w:rsid w:val="00934AC5"/>
    <w:rsid w:val="00936316"/>
    <w:rsid w:val="00936DF0"/>
    <w:rsid w:val="0093765E"/>
    <w:rsid w:val="009412BA"/>
    <w:rsid w:val="00942348"/>
    <w:rsid w:val="00943036"/>
    <w:rsid w:val="00943DB3"/>
    <w:rsid w:val="009445DF"/>
    <w:rsid w:val="009455FE"/>
    <w:rsid w:val="00945BB7"/>
    <w:rsid w:val="00946405"/>
    <w:rsid w:val="00946E4E"/>
    <w:rsid w:val="00951F50"/>
    <w:rsid w:val="009535BF"/>
    <w:rsid w:val="00953F0C"/>
    <w:rsid w:val="00954C88"/>
    <w:rsid w:val="00956970"/>
    <w:rsid w:val="00960415"/>
    <w:rsid w:val="00960B0C"/>
    <w:rsid w:val="009625ED"/>
    <w:rsid w:val="00962CF4"/>
    <w:rsid w:val="00964D80"/>
    <w:rsid w:val="009657B0"/>
    <w:rsid w:val="0096670E"/>
    <w:rsid w:val="00966822"/>
    <w:rsid w:val="00966F34"/>
    <w:rsid w:val="0096733D"/>
    <w:rsid w:val="00970B7F"/>
    <w:rsid w:val="009720E1"/>
    <w:rsid w:val="00973032"/>
    <w:rsid w:val="00976A08"/>
    <w:rsid w:val="00980129"/>
    <w:rsid w:val="00980185"/>
    <w:rsid w:val="00980BEA"/>
    <w:rsid w:val="00981E09"/>
    <w:rsid w:val="00982901"/>
    <w:rsid w:val="00984139"/>
    <w:rsid w:val="0098428C"/>
    <w:rsid w:val="00986387"/>
    <w:rsid w:val="009872E5"/>
    <w:rsid w:val="00987321"/>
    <w:rsid w:val="00990379"/>
    <w:rsid w:val="00991EEA"/>
    <w:rsid w:val="0099258D"/>
    <w:rsid w:val="00993E93"/>
    <w:rsid w:val="00994B5F"/>
    <w:rsid w:val="00995485"/>
    <w:rsid w:val="0099570F"/>
    <w:rsid w:val="00995A76"/>
    <w:rsid w:val="00996AFA"/>
    <w:rsid w:val="009A002C"/>
    <w:rsid w:val="009A1584"/>
    <w:rsid w:val="009A1676"/>
    <w:rsid w:val="009A1D8B"/>
    <w:rsid w:val="009A264F"/>
    <w:rsid w:val="009A2829"/>
    <w:rsid w:val="009A56B1"/>
    <w:rsid w:val="009A5BA5"/>
    <w:rsid w:val="009A5DB4"/>
    <w:rsid w:val="009A6B96"/>
    <w:rsid w:val="009A74F3"/>
    <w:rsid w:val="009A782A"/>
    <w:rsid w:val="009A7973"/>
    <w:rsid w:val="009B14D5"/>
    <w:rsid w:val="009B273B"/>
    <w:rsid w:val="009B274E"/>
    <w:rsid w:val="009B3B0B"/>
    <w:rsid w:val="009B55D6"/>
    <w:rsid w:val="009B6FDE"/>
    <w:rsid w:val="009B741A"/>
    <w:rsid w:val="009C13C8"/>
    <w:rsid w:val="009C1B5D"/>
    <w:rsid w:val="009C2A16"/>
    <w:rsid w:val="009C3D70"/>
    <w:rsid w:val="009C4A74"/>
    <w:rsid w:val="009C50D8"/>
    <w:rsid w:val="009C5DAF"/>
    <w:rsid w:val="009C761D"/>
    <w:rsid w:val="009D0106"/>
    <w:rsid w:val="009D198D"/>
    <w:rsid w:val="009D1FE7"/>
    <w:rsid w:val="009D22A3"/>
    <w:rsid w:val="009D294B"/>
    <w:rsid w:val="009D3EFC"/>
    <w:rsid w:val="009D5400"/>
    <w:rsid w:val="009D63C1"/>
    <w:rsid w:val="009D68A9"/>
    <w:rsid w:val="009D7681"/>
    <w:rsid w:val="009E0056"/>
    <w:rsid w:val="009E2690"/>
    <w:rsid w:val="009E5DBF"/>
    <w:rsid w:val="009E6C53"/>
    <w:rsid w:val="009E6E6D"/>
    <w:rsid w:val="009F0D44"/>
    <w:rsid w:val="009F2DAE"/>
    <w:rsid w:val="009F43E2"/>
    <w:rsid w:val="009F45B0"/>
    <w:rsid w:val="009F6896"/>
    <w:rsid w:val="009F6913"/>
    <w:rsid w:val="009F765A"/>
    <w:rsid w:val="00A02A27"/>
    <w:rsid w:val="00A02D6C"/>
    <w:rsid w:val="00A03543"/>
    <w:rsid w:val="00A03AF9"/>
    <w:rsid w:val="00A049DE"/>
    <w:rsid w:val="00A05A46"/>
    <w:rsid w:val="00A05A6B"/>
    <w:rsid w:val="00A05CF7"/>
    <w:rsid w:val="00A0619D"/>
    <w:rsid w:val="00A06C97"/>
    <w:rsid w:val="00A07A65"/>
    <w:rsid w:val="00A10E04"/>
    <w:rsid w:val="00A1137E"/>
    <w:rsid w:val="00A118FD"/>
    <w:rsid w:val="00A12258"/>
    <w:rsid w:val="00A126FA"/>
    <w:rsid w:val="00A1547F"/>
    <w:rsid w:val="00A170EC"/>
    <w:rsid w:val="00A17527"/>
    <w:rsid w:val="00A20B46"/>
    <w:rsid w:val="00A20DF1"/>
    <w:rsid w:val="00A2246E"/>
    <w:rsid w:val="00A228F9"/>
    <w:rsid w:val="00A22A65"/>
    <w:rsid w:val="00A24497"/>
    <w:rsid w:val="00A26EF3"/>
    <w:rsid w:val="00A26F67"/>
    <w:rsid w:val="00A27B25"/>
    <w:rsid w:val="00A27DF5"/>
    <w:rsid w:val="00A30266"/>
    <w:rsid w:val="00A30749"/>
    <w:rsid w:val="00A30E64"/>
    <w:rsid w:val="00A3167E"/>
    <w:rsid w:val="00A32570"/>
    <w:rsid w:val="00A32D50"/>
    <w:rsid w:val="00A334DE"/>
    <w:rsid w:val="00A334FB"/>
    <w:rsid w:val="00A3580E"/>
    <w:rsid w:val="00A35956"/>
    <w:rsid w:val="00A35BA3"/>
    <w:rsid w:val="00A36F26"/>
    <w:rsid w:val="00A4087C"/>
    <w:rsid w:val="00A41B7B"/>
    <w:rsid w:val="00A43207"/>
    <w:rsid w:val="00A43F5D"/>
    <w:rsid w:val="00A44848"/>
    <w:rsid w:val="00A4744F"/>
    <w:rsid w:val="00A47A42"/>
    <w:rsid w:val="00A47BEF"/>
    <w:rsid w:val="00A51309"/>
    <w:rsid w:val="00A5499B"/>
    <w:rsid w:val="00A555AF"/>
    <w:rsid w:val="00A55E8A"/>
    <w:rsid w:val="00A55F12"/>
    <w:rsid w:val="00A56327"/>
    <w:rsid w:val="00A57D93"/>
    <w:rsid w:val="00A60779"/>
    <w:rsid w:val="00A60E0E"/>
    <w:rsid w:val="00A6222E"/>
    <w:rsid w:val="00A62A83"/>
    <w:rsid w:val="00A630CE"/>
    <w:rsid w:val="00A63422"/>
    <w:rsid w:val="00A634E6"/>
    <w:rsid w:val="00A6358A"/>
    <w:rsid w:val="00A6361C"/>
    <w:rsid w:val="00A657FA"/>
    <w:rsid w:val="00A6679A"/>
    <w:rsid w:val="00A66914"/>
    <w:rsid w:val="00A66A82"/>
    <w:rsid w:val="00A67715"/>
    <w:rsid w:val="00A7006C"/>
    <w:rsid w:val="00A7041C"/>
    <w:rsid w:val="00A7254F"/>
    <w:rsid w:val="00A74987"/>
    <w:rsid w:val="00A74EE4"/>
    <w:rsid w:val="00A758BC"/>
    <w:rsid w:val="00A76289"/>
    <w:rsid w:val="00A771A5"/>
    <w:rsid w:val="00A80AE6"/>
    <w:rsid w:val="00A80E10"/>
    <w:rsid w:val="00A819A4"/>
    <w:rsid w:val="00A82220"/>
    <w:rsid w:val="00A82AFB"/>
    <w:rsid w:val="00A82F51"/>
    <w:rsid w:val="00A83310"/>
    <w:rsid w:val="00A84A38"/>
    <w:rsid w:val="00A850D8"/>
    <w:rsid w:val="00A86048"/>
    <w:rsid w:val="00A91957"/>
    <w:rsid w:val="00A9205F"/>
    <w:rsid w:val="00A92128"/>
    <w:rsid w:val="00A92D00"/>
    <w:rsid w:val="00A9475B"/>
    <w:rsid w:val="00A9477E"/>
    <w:rsid w:val="00A95994"/>
    <w:rsid w:val="00A97CF9"/>
    <w:rsid w:val="00AA0F33"/>
    <w:rsid w:val="00AA2198"/>
    <w:rsid w:val="00AA24A1"/>
    <w:rsid w:val="00AA30A8"/>
    <w:rsid w:val="00AA4BEA"/>
    <w:rsid w:val="00AA4FCF"/>
    <w:rsid w:val="00AA4FE5"/>
    <w:rsid w:val="00AA5E26"/>
    <w:rsid w:val="00AA6A07"/>
    <w:rsid w:val="00AA788A"/>
    <w:rsid w:val="00AA7AE7"/>
    <w:rsid w:val="00AB071D"/>
    <w:rsid w:val="00AB2AFF"/>
    <w:rsid w:val="00AB39F3"/>
    <w:rsid w:val="00AB4017"/>
    <w:rsid w:val="00AB4A5F"/>
    <w:rsid w:val="00AB4D35"/>
    <w:rsid w:val="00AB5159"/>
    <w:rsid w:val="00AB53A3"/>
    <w:rsid w:val="00AB62F1"/>
    <w:rsid w:val="00AB67C9"/>
    <w:rsid w:val="00AB702A"/>
    <w:rsid w:val="00AB76D8"/>
    <w:rsid w:val="00AC0008"/>
    <w:rsid w:val="00AC0420"/>
    <w:rsid w:val="00AC0F3C"/>
    <w:rsid w:val="00AC1FD9"/>
    <w:rsid w:val="00AC26F8"/>
    <w:rsid w:val="00AC2E66"/>
    <w:rsid w:val="00AC34A3"/>
    <w:rsid w:val="00AC5B0E"/>
    <w:rsid w:val="00AD168D"/>
    <w:rsid w:val="00AD27F5"/>
    <w:rsid w:val="00AD42D0"/>
    <w:rsid w:val="00AD47FE"/>
    <w:rsid w:val="00AD5560"/>
    <w:rsid w:val="00AE089C"/>
    <w:rsid w:val="00AE0AD1"/>
    <w:rsid w:val="00AE14FE"/>
    <w:rsid w:val="00AE487D"/>
    <w:rsid w:val="00AE4A44"/>
    <w:rsid w:val="00AE4E8F"/>
    <w:rsid w:val="00AE590B"/>
    <w:rsid w:val="00AE5C34"/>
    <w:rsid w:val="00AE63DD"/>
    <w:rsid w:val="00AE699A"/>
    <w:rsid w:val="00AE7798"/>
    <w:rsid w:val="00AE7AFC"/>
    <w:rsid w:val="00AE7F40"/>
    <w:rsid w:val="00AF063D"/>
    <w:rsid w:val="00AF1179"/>
    <w:rsid w:val="00AF31AB"/>
    <w:rsid w:val="00AF31AD"/>
    <w:rsid w:val="00AF37CA"/>
    <w:rsid w:val="00AF3851"/>
    <w:rsid w:val="00AF42AB"/>
    <w:rsid w:val="00AF4547"/>
    <w:rsid w:val="00AF4B13"/>
    <w:rsid w:val="00AF4F6C"/>
    <w:rsid w:val="00AF7A3D"/>
    <w:rsid w:val="00AF7E14"/>
    <w:rsid w:val="00B04695"/>
    <w:rsid w:val="00B04BD9"/>
    <w:rsid w:val="00B05EC2"/>
    <w:rsid w:val="00B06C20"/>
    <w:rsid w:val="00B104C2"/>
    <w:rsid w:val="00B11617"/>
    <w:rsid w:val="00B12D8C"/>
    <w:rsid w:val="00B13A61"/>
    <w:rsid w:val="00B13E3C"/>
    <w:rsid w:val="00B13E78"/>
    <w:rsid w:val="00B157CA"/>
    <w:rsid w:val="00B17EB0"/>
    <w:rsid w:val="00B20313"/>
    <w:rsid w:val="00B2083E"/>
    <w:rsid w:val="00B21580"/>
    <w:rsid w:val="00B215FE"/>
    <w:rsid w:val="00B21F77"/>
    <w:rsid w:val="00B2241B"/>
    <w:rsid w:val="00B22623"/>
    <w:rsid w:val="00B31756"/>
    <w:rsid w:val="00B327D3"/>
    <w:rsid w:val="00B338C9"/>
    <w:rsid w:val="00B3484A"/>
    <w:rsid w:val="00B34A22"/>
    <w:rsid w:val="00B34D86"/>
    <w:rsid w:val="00B3513B"/>
    <w:rsid w:val="00B356F0"/>
    <w:rsid w:val="00B35816"/>
    <w:rsid w:val="00B36028"/>
    <w:rsid w:val="00B369ED"/>
    <w:rsid w:val="00B37363"/>
    <w:rsid w:val="00B40E76"/>
    <w:rsid w:val="00B40E9C"/>
    <w:rsid w:val="00B4135F"/>
    <w:rsid w:val="00B419B0"/>
    <w:rsid w:val="00B41B5F"/>
    <w:rsid w:val="00B42436"/>
    <w:rsid w:val="00B42D20"/>
    <w:rsid w:val="00B43D06"/>
    <w:rsid w:val="00B44E89"/>
    <w:rsid w:val="00B459B2"/>
    <w:rsid w:val="00B45FC5"/>
    <w:rsid w:val="00B4772D"/>
    <w:rsid w:val="00B47FD4"/>
    <w:rsid w:val="00B50BC6"/>
    <w:rsid w:val="00B527AC"/>
    <w:rsid w:val="00B53019"/>
    <w:rsid w:val="00B537E0"/>
    <w:rsid w:val="00B53A33"/>
    <w:rsid w:val="00B53A81"/>
    <w:rsid w:val="00B54CD3"/>
    <w:rsid w:val="00B55B2F"/>
    <w:rsid w:val="00B6120A"/>
    <w:rsid w:val="00B623BA"/>
    <w:rsid w:val="00B64CDE"/>
    <w:rsid w:val="00B679E5"/>
    <w:rsid w:val="00B67F48"/>
    <w:rsid w:val="00B713CE"/>
    <w:rsid w:val="00B71CBD"/>
    <w:rsid w:val="00B7264C"/>
    <w:rsid w:val="00B73E9C"/>
    <w:rsid w:val="00B7472D"/>
    <w:rsid w:val="00B748AB"/>
    <w:rsid w:val="00B767EF"/>
    <w:rsid w:val="00B76DD7"/>
    <w:rsid w:val="00B77C6A"/>
    <w:rsid w:val="00B80164"/>
    <w:rsid w:val="00B81016"/>
    <w:rsid w:val="00B8199A"/>
    <w:rsid w:val="00B81BD0"/>
    <w:rsid w:val="00B8246C"/>
    <w:rsid w:val="00B8341F"/>
    <w:rsid w:val="00B84F4B"/>
    <w:rsid w:val="00B85826"/>
    <w:rsid w:val="00B86325"/>
    <w:rsid w:val="00B926C4"/>
    <w:rsid w:val="00B92CB3"/>
    <w:rsid w:val="00B9302B"/>
    <w:rsid w:val="00B9533C"/>
    <w:rsid w:val="00B95A3A"/>
    <w:rsid w:val="00B97A3B"/>
    <w:rsid w:val="00BA1A63"/>
    <w:rsid w:val="00BA1CB7"/>
    <w:rsid w:val="00BA1ED3"/>
    <w:rsid w:val="00BA2738"/>
    <w:rsid w:val="00BA28B1"/>
    <w:rsid w:val="00BA2B73"/>
    <w:rsid w:val="00BA2D43"/>
    <w:rsid w:val="00BA37D1"/>
    <w:rsid w:val="00BA44E2"/>
    <w:rsid w:val="00BA4E4A"/>
    <w:rsid w:val="00BA5ED4"/>
    <w:rsid w:val="00BA6EA8"/>
    <w:rsid w:val="00BA71A0"/>
    <w:rsid w:val="00BA7BA5"/>
    <w:rsid w:val="00BB29E3"/>
    <w:rsid w:val="00BB2DDE"/>
    <w:rsid w:val="00BB30C8"/>
    <w:rsid w:val="00BB3625"/>
    <w:rsid w:val="00BB3942"/>
    <w:rsid w:val="00BB5574"/>
    <w:rsid w:val="00BB6DE1"/>
    <w:rsid w:val="00BC0131"/>
    <w:rsid w:val="00BC05FC"/>
    <w:rsid w:val="00BC1522"/>
    <w:rsid w:val="00BC1A05"/>
    <w:rsid w:val="00BC2F56"/>
    <w:rsid w:val="00BC42AB"/>
    <w:rsid w:val="00BC4649"/>
    <w:rsid w:val="00BC4850"/>
    <w:rsid w:val="00BC5EFF"/>
    <w:rsid w:val="00BC6F17"/>
    <w:rsid w:val="00BC7FC2"/>
    <w:rsid w:val="00BD2398"/>
    <w:rsid w:val="00BD2CBB"/>
    <w:rsid w:val="00BD3775"/>
    <w:rsid w:val="00BD4471"/>
    <w:rsid w:val="00BD4A73"/>
    <w:rsid w:val="00BD6B51"/>
    <w:rsid w:val="00BD7303"/>
    <w:rsid w:val="00BD7843"/>
    <w:rsid w:val="00BE0843"/>
    <w:rsid w:val="00BE2569"/>
    <w:rsid w:val="00BE3229"/>
    <w:rsid w:val="00BE3AC4"/>
    <w:rsid w:val="00BE4654"/>
    <w:rsid w:val="00BE4EDD"/>
    <w:rsid w:val="00BE6003"/>
    <w:rsid w:val="00BE6348"/>
    <w:rsid w:val="00BE6A12"/>
    <w:rsid w:val="00BE7181"/>
    <w:rsid w:val="00BE7F23"/>
    <w:rsid w:val="00BF0F69"/>
    <w:rsid w:val="00BF38E1"/>
    <w:rsid w:val="00BF4014"/>
    <w:rsid w:val="00BF441F"/>
    <w:rsid w:val="00BF4EF9"/>
    <w:rsid w:val="00BF5596"/>
    <w:rsid w:val="00BF71AC"/>
    <w:rsid w:val="00C018EA"/>
    <w:rsid w:val="00C02DE1"/>
    <w:rsid w:val="00C0409D"/>
    <w:rsid w:val="00C07A18"/>
    <w:rsid w:val="00C07BBD"/>
    <w:rsid w:val="00C10CA8"/>
    <w:rsid w:val="00C10D3C"/>
    <w:rsid w:val="00C11693"/>
    <w:rsid w:val="00C1223A"/>
    <w:rsid w:val="00C122E9"/>
    <w:rsid w:val="00C16680"/>
    <w:rsid w:val="00C16FA0"/>
    <w:rsid w:val="00C17377"/>
    <w:rsid w:val="00C17E3C"/>
    <w:rsid w:val="00C2010D"/>
    <w:rsid w:val="00C202CD"/>
    <w:rsid w:val="00C2277B"/>
    <w:rsid w:val="00C22B6B"/>
    <w:rsid w:val="00C2401B"/>
    <w:rsid w:val="00C25AB0"/>
    <w:rsid w:val="00C25CEB"/>
    <w:rsid w:val="00C2661D"/>
    <w:rsid w:val="00C2675F"/>
    <w:rsid w:val="00C26F6F"/>
    <w:rsid w:val="00C2707F"/>
    <w:rsid w:val="00C27666"/>
    <w:rsid w:val="00C27D52"/>
    <w:rsid w:val="00C27EE6"/>
    <w:rsid w:val="00C3186F"/>
    <w:rsid w:val="00C31A3F"/>
    <w:rsid w:val="00C331CB"/>
    <w:rsid w:val="00C34F92"/>
    <w:rsid w:val="00C35007"/>
    <w:rsid w:val="00C356D4"/>
    <w:rsid w:val="00C37A88"/>
    <w:rsid w:val="00C40FCB"/>
    <w:rsid w:val="00C41A52"/>
    <w:rsid w:val="00C4280D"/>
    <w:rsid w:val="00C428C5"/>
    <w:rsid w:val="00C42925"/>
    <w:rsid w:val="00C431FD"/>
    <w:rsid w:val="00C46DAC"/>
    <w:rsid w:val="00C54FA6"/>
    <w:rsid w:val="00C55E8D"/>
    <w:rsid w:val="00C6108F"/>
    <w:rsid w:val="00C6156E"/>
    <w:rsid w:val="00C61E6C"/>
    <w:rsid w:val="00C61F94"/>
    <w:rsid w:val="00C62E39"/>
    <w:rsid w:val="00C65633"/>
    <w:rsid w:val="00C66356"/>
    <w:rsid w:val="00C701E0"/>
    <w:rsid w:val="00C736F3"/>
    <w:rsid w:val="00C746FA"/>
    <w:rsid w:val="00C75863"/>
    <w:rsid w:val="00C77119"/>
    <w:rsid w:val="00C77AC2"/>
    <w:rsid w:val="00C8069A"/>
    <w:rsid w:val="00C81346"/>
    <w:rsid w:val="00C814FC"/>
    <w:rsid w:val="00C821BC"/>
    <w:rsid w:val="00C82B4E"/>
    <w:rsid w:val="00C82ED8"/>
    <w:rsid w:val="00C831CA"/>
    <w:rsid w:val="00C845D2"/>
    <w:rsid w:val="00C8481C"/>
    <w:rsid w:val="00C872D0"/>
    <w:rsid w:val="00C878F1"/>
    <w:rsid w:val="00C90B2F"/>
    <w:rsid w:val="00C910C2"/>
    <w:rsid w:val="00C92BBB"/>
    <w:rsid w:val="00C951A3"/>
    <w:rsid w:val="00C964EC"/>
    <w:rsid w:val="00C96640"/>
    <w:rsid w:val="00C9669E"/>
    <w:rsid w:val="00C97BB7"/>
    <w:rsid w:val="00C97E8B"/>
    <w:rsid w:val="00CA25F8"/>
    <w:rsid w:val="00CA3B6B"/>
    <w:rsid w:val="00CA5CA0"/>
    <w:rsid w:val="00CA748E"/>
    <w:rsid w:val="00CB2574"/>
    <w:rsid w:val="00CB2DB4"/>
    <w:rsid w:val="00CB34A6"/>
    <w:rsid w:val="00CB39EE"/>
    <w:rsid w:val="00CB5EE6"/>
    <w:rsid w:val="00CC0709"/>
    <w:rsid w:val="00CC0FA9"/>
    <w:rsid w:val="00CC2AC9"/>
    <w:rsid w:val="00CC30C0"/>
    <w:rsid w:val="00CC3F49"/>
    <w:rsid w:val="00CC4589"/>
    <w:rsid w:val="00CC4CD8"/>
    <w:rsid w:val="00CD06C6"/>
    <w:rsid w:val="00CD12C6"/>
    <w:rsid w:val="00CD2BA8"/>
    <w:rsid w:val="00CD3FA7"/>
    <w:rsid w:val="00CD51B4"/>
    <w:rsid w:val="00CD5B2E"/>
    <w:rsid w:val="00CD7125"/>
    <w:rsid w:val="00CD739D"/>
    <w:rsid w:val="00CD73AF"/>
    <w:rsid w:val="00CD79E1"/>
    <w:rsid w:val="00CD7C32"/>
    <w:rsid w:val="00CE1481"/>
    <w:rsid w:val="00CE1525"/>
    <w:rsid w:val="00CE2922"/>
    <w:rsid w:val="00CE55C5"/>
    <w:rsid w:val="00CE57C0"/>
    <w:rsid w:val="00CE57CD"/>
    <w:rsid w:val="00CE6123"/>
    <w:rsid w:val="00CE6AD2"/>
    <w:rsid w:val="00CE788C"/>
    <w:rsid w:val="00CF0785"/>
    <w:rsid w:val="00CF2803"/>
    <w:rsid w:val="00CF3613"/>
    <w:rsid w:val="00CF42CB"/>
    <w:rsid w:val="00CF4BDC"/>
    <w:rsid w:val="00CF4F56"/>
    <w:rsid w:val="00CF7C89"/>
    <w:rsid w:val="00D00AEE"/>
    <w:rsid w:val="00D00EC0"/>
    <w:rsid w:val="00D01A07"/>
    <w:rsid w:val="00D01CDB"/>
    <w:rsid w:val="00D01FEA"/>
    <w:rsid w:val="00D05062"/>
    <w:rsid w:val="00D066E5"/>
    <w:rsid w:val="00D142A9"/>
    <w:rsid w:val="00D1476D"/>
    <w:rsid w:val="00D14CB7"/>
    <w:rsid w:val="00D154F3"/>
    <w:rsid w:val="00D159A4"/>
    <w:rsid w:val="00D1637F"/>
    <w:rsid w:val="00D205B8"/>
    <w:rsid w:val="00D255DF"/>
    <w:rsid w:val="00D257DE"/>
    <w:rsid w:val="00D271DD"/>
    <w:rsid w:val="00D2737C"/>
    <w:rsid w:val="00D30AD2"/>
    <w:rsid w:val="00D3349B"/>
    <w:rsid w:val="00D334CE"/>
    <w:rsid w:val="00D355AA"/>
    <w:rsid w:val="00D35A67"/>
    <w:rsid w:val="00D35AB7"/>
    <w:rsid w:val="00D35D7A"/>
    <w:rsid w:val="00D40040"/>
    <w:rsid w:val="00D40619"/>
    <w:rsid w:val="00D41F6C"/>
    <w:rsid w:val="00D42934"/>
    <w:rsid w:val="00D439BE"/>
    <w:rsid w:val="00D43CF3"/>
    <w:rsid w:val="00D440F7"/>
    <w:rsid w:val="00D47414"/>
    <w:rsid w:val="00D50A3E"/>
    <w:rsid w:val="00D51B03"/>
    <w:rsid w:val="00D51BBB"/>
    <w:rsid w:val="00D5227D"/>
    <w:rsid w:val="00D53445"/>
    <w:rsid w:val="00D5397A"/>
    <w:rsid w:val="00D541D5"/>
    <w:rsid w:val="00D54595"/>
    <w:rsid w:val="00D548D0"/>
    <w:rsid w:val="00D55467"/>
    <w:rsid w:val="00D55A21"/>
    <w:rsid w:val="00D61EE5"/>
    <w:rsid w:val="00D62CE0"/>
    <w:rsid w:val="00D6376C"/>
    <w:rsid w:val="00D64F5D"/>
    <w:rsid w:val="00D66B5F"/>
    <w:rsid w:val="00D70D1B"/>
    <w:rsid w:val="00D71554"/>
    <w:rsid w:val="00D717AC"/>
    <w:rsid w:val="00D71C2E"/>
    <w:rsid w:val="00D72601"/>
    <w:rsid w:val="00D736CA"/>
    <w:rsid w:val="00D763C4"/>
    <w:rsid w:val="00D76973"/>
    <w:rsid w:val="00D80220"/>
    <w:rsid w:val="00D802D4"/>
    <w:rsid w:val="00D802D6"/>
    <w:rsid w:val="00D811B0"/>
    <w:rsid w:val="00D815D3"/>
    <w:rsid w:val="00D81EBA"/>
    <w:rsid w:val="00D824E1"/>
    <w:rsid w:val="00D831DF"/>
    <w:rsid w:val="00D853E3"/>
    <w:rsid w:val="00D855AF"/>
    <w:rsid w:val="00D856A3"/>
    <w:rsid w:val="00D85783"/>
    <w:rsid w:val="00D85BF1"/>
    <w:rsid w:val="00D86020"/>
    <w:rsid w:val="00D86A54"/>
    <w:rsid w:val="00D86C8D"/>
    <w:rsid w:val="00D87637"/>
    <w:rsid w:val="00D87C7A"/>
    <w:rsid w:val="00D91AB0"/>
    <w:rsid w:val="00D92001"/>
    <w:rsid w:val="00D92540"/>
    <w:rsid w:val="00D92BD5"/>
    <w:rsid w:val="00D92F2A"/>
    <w:rsid w:val="00D93A1D"/>
    <w:rsid w:val="00D96275"/>
    <w:rsid w:val="00D964F5"/>
    <w:rsid w:val="00DA0FFA"/>
    <w:rsid w:val="00DA2339"/>
    <w:rsid w:val="00DA2531"/>
    <w:rsid w:val="00DA27AF"/>
    <w:rsid w:val="00DA321B"/>
    <w:rsid w:val="00DA40CF"/>
    <w:rsid w:val="00DA6A79"/>
    <w:rsid w:val="00DA7196"/>
    <w:rsid w:val="00DB079A"/>
    <w:rsid w:val="00DB119D"/>
    <w:rsid w:val="00DB3632"/>
    <w:rsid w:val="00DB3C52"/>
    <w:rsid w:val="00DB4672"/>
    <w:rsid w:val="00DB4B35"/>
    <w:rsid w:val="00DB4E78"/>
    <w:rsid w:val="00DB4F39"/>
    <w:rsid w:val="00DB56D1"/>
    <w:rsid w:val="00DB72DA"/>
    <w:rsid w:val="00DB7EE9"/>
    <w:rsid w:val="00DC1691"/>
    <w:rsid w:val="00DC1704"/>
    <w:rsid w:val="00DC2C07"/>
    <w:rsid w:val="00DC4823"/>
    <w:rsid w:val="00DC5F72"/>
    <w:rsid w:val="00DC6B4E"/>
    <w:rsid w:val="00DC7374"/>
    <w:rsid w:val="00DC7710"/>
    <w:rsid w:val="00DD13C9"/>
    <w:rsid w:val="00DD1762"/>
    <w:rsid w:val="00DD2022"/>
    <w:rsid w:val="00DD206B"/>
    <w:rsid w:val="00DD2F79"/>
    <w:rsid w:val="00DD52C9"/>
    <w:rsid w:val="00DD6C5A"/>
    <w:rsid w:val="00DD6D4B"/>
    <w:rsid w:val="00DE0A4F"/>
    <w:rsid w:val="00DE0FBF"/>
    <w:rsid w:val="00DE1516"/>
    <w:rsid w:val="00DE202E"/>
    <w:rsid w:val="00DE6551"/>
    <w:rsid w:val="00DE78B2"/>
    <w:rsid w:val="00DE792A"/>
    <w:rsid w:val="00DF15C6"/>
    <w:rsid w:val="00DF1B8B"/>
    <w:rsid w:val="00DF2851"/>
    <w:rsid w:val="00DF4B08"/>
    <w:rsid w:val="00DF5241"/>
    <w:rsid w:val="00DF7B3B"/>
    <w:rsid w:val="00E01548"/>
    <w:rsid w:val="00E01F4C"/>
    <w:rsid w:val="00E028B8"/>
    <w:rsid w:val="00E03B4E"/>
    <w:rsid w:val="00E03E32"/>
    <w:rsid w:val="00E05D0A"/>
    <w:rsid w:val="00E07357"/>
    <w:rsid w:val="00E07DC6"/>
    <w:rsid w:val="00E109F5"/>
    <w:rsid w:val="00E10C53"/>
    <w:rsid w:val="00E11068"/>
    <w:rsid w:val="00E11242"/>
    <w:rsid w:val="00E11DE1"/>
    <w:rsid w:val="00E14F1A"/>
    <w:rsid w:val="00E15CF5"/>
    <w:rsid w:val="00E15FB2"/>
    <w:rsid w:val="00E16EDF"/>
    <w:rsid w:val="00E173E5"/>
    <w:rsid w:val="00E178E6"/>
    <w:rsid w:val="00E210FE"/>
    <w:rsid w:val="00E22D2D"/>
    <w:rsid w:val="00E235AC"/>
    <w:rsid w:val="00E23CB2"/>
    <w:rsid w:val="00E2451C"/>
    <w:rsid w:val="00E251E1"/>
    <w:rsid w:val="00E25CEA"/>
    <w:rsid w:val="00E33380"/>
    <w:rsid w:val="00E36ECA"/>
    <w:rsid w:val="00E37C9D"/>
    <w:rsid w:val="00E40888"/>
    <w:rsid w:val="00E40C47"/>
    <w:rsid w:val="00E43E81"/>
    <w:rsid w:val="00E440D6"/>
    <w:rsid w:val="00E44B43"/>
    <w:rsid w:val="00E45141"/>
    <w:rsid w:val="00E453FF"/>
    <w:rsid w:val="00E4581F"/>
    <w:rsid w:val="00E45C2E"/>
    <w:rsid w:val="00E46609"/>
    <w:rsid w:val="00E4709E"/>
    <w:rsid w:val="00E4748E"/>
    <w:rsid w:val="00E50AA2"/>
    <w:rsid w:val="00E55F73"/>
    <w:rsid w:val="00E56DEF"/>
    <w:rsid w:val="00E57105"/>
    <w:rsid w:val="00E57208"/>
    <w:rsid w:val="00E61DB9"/>
    <w:rsid w:val="00E6257B"/>
    <w:rsid w:val="00E62C04"/>
    <w:rsid w:val="00E62C6F"/>
    <w:rsid w:val="00E6344E"/>
    <w:rsid w:val="00E64D64"/>
    <w:rsid w:val="00E65CA4"/>
    <w:rsid w:val="00E675BD"/>
    <w:rsid w:val="00E723EA"/>
    <w:rsid w:val="00E72D57"/>
    <w:rsid w:val="00E7335E"/>
    <w:rsid w:val="00E7394E"/>
    <w:rsid w:val="00E745D3"/>
    <w:rsid w:val="00E750EC"/>
    <w:rsid w:val="00E766DE"/>
    <w:rsid w:val="00E77434"/>
    <w:rsid w:val="00E80A14"/>
    <w:rsid w:val="00E818BC"/>
    <w:rsid w:val="00E82005"/>
    <w:rsid w:val="00E824FD"/>
    <w:rsid w:val="00E82F15"/>
    <w:rsid w:val="00E8336C"/>
    <w:rsid w:val="00E846CE"/>
    <w:rsid w:val="00E84F1A"/>
    <w:rsid w:val="00E85C77"/>
    <w:rsid w:val="00E85C86"/>
    <w:rsid w:val="00E86ABA"/>
    <w:rsid w:val="00E86C91"/>
    <w:rsid w:val="00E87122"/>
    <w:rsid w:val="00E878F1"/>
    <w:rsid w:val="00E92D26"/>
    <w:rsid w:val="00E92F59"/>
    <w:rsid w:val="00E934A8"/>
    <w:rsid w:val="00E93BD6"/>
    <w:rsid w:val="00E93EE4"/>
    <w:rsid w:val="00E95924"/>
    <w:rsid w:val="00EA0E9B"/>
    <w:rsid w:val="00EA30A2"/>
    <w:rsid w:val="00EA3A7C"/>
    <w:rsid w:val="00EA4AFB"/>
    <w:rsid w:val="00EA4B6D"/>
    <w:rsid w:val="00EA4BA8"/>
    <w:rsid w:val="00EA52C9"/>
    <w:rsid w:val="00EB2602"/>
    <w:rsid w:val="00EB2A43"/>
    <w:rsid w:val="00EB342E"/>
    <w:rsid w:val="00EB458B"/>
    <w:rsid w:val="00EB475E"/>
    <w:rsid w:val="00EB4AA5"/>
    <w:rsid w:val="00EB4B02"/>
    <w:rsid w:val="00EB50D4"/>
    <w:rsid w:val="00EB596F"/>
    <w:rsid w:val="00EB7C73"/>
    <w:rsid w:val="00EC13A0"/>
    <w:rsid w:val="00EC1B67"/>
    <w:rsid w:val="00EC20CC"/>
    <w:rsid w:val="00EC3D80"/>
    <w:rsid w:val="00EC4A2F"/>
    <w:rsid w:val="00EC5E4A"/>
    <w:rsid w:val="00EC6991"/>
    <w:rsid w:val="00ED0AEA"/>
    <w:rsid w:val="00ED11B1"/>
    <w:rsid w:val="00ED1CCA"/>
    <w:rsid w:val="00ED1DE9"/>
    <w:rsid w:val="00ED2A26"/>
    <w:rsid w:val="00ED3165"/>
    <w:rsid w:val="00ED39EA"/>
    <w:rsid w:val="00ED476C"/>
    <w:rsid w:val="00ED5035"/>
    <w:rsid w:val="00ED63BD"/>
    <w:rsid w:val="00ED68E2"/>
    <w:rsid w:val="00ED74F7"/>
    <w:rsid w:val="00EE0642"/>
    <w:rsid w:val="00EE06A1"/>
    <w:rsid w:val="00EE0F86"/>
    <w:rsid w:val="00EE26F6"/>
    <w:rsid w:val="00EE6198"/>
    <w:rsid w:val="00EE6476"/>
    <w:rsid w:val="00EE6E4E"/>
    <w:rsid w:val="00EE73CF"/>
    <w:rsid w:val="00EF1FE8"/>
    <w:rsid w:val="00EF231D"/>
    <w:rsid w:val="00EF27CB"/>
    <w:rsid w:val="00EF3684"/>
    <w:rsid w:val="00EF4259"/>
    <w:rsid w:val="00EF49DC"/>
    <w:rsid w:val="00EF5162"/>
    <w:rsid w:val="00EF54EB"/>
    <w:rsid w:val="00EF577C"/>
    <w:rsid w:val="00EF7279"/>
    <w:rsid w:val="00F00143"/>
    <w:rsid w:val="00F018D6"/>
    <w:rsid w:val="00F01A01"/>
    <w:rsid w:val="00F04511"/>
    <w:rsid w:val="00F04CED"/>
    <w:rsid w:val="00F05D3C"/>
    <w:rsid w:val="00F05F49"/>
    <w:rsid w:val="00F07262"/>
    <w:rsid w:val="00F07662"/>
    <w:rsid w:val="00F07C11"/>
    <w:rsid w:val="00F07F8F"/>
    <w:rsid w:val="00F10450"/>
    <w:rsid w:val="00F1268D"/>
    <w:rsid w:val="00F12DD8"/>
    <w:rsid w:val="00F135D1"/>
    <w:rsid w:val="00F1481A"/>
    <w:rsid w:val="00F16E09"/>
    <w:rsid w:val="00F22E33"/>
    <w:rsid w:val="00F235EA"/>
    <w:rsid w:val="00F25361"/>
    <w:rsid w:val="00F255F2"/>
    <w:rsid w:val="00F27081"/>
    <w:rsid w:val="00F276DA"/>
    <w:rsid w:val="00F306A5"/>
    <w:rsid w:val="00F32D94"/>
    <w:rsid w:val="00F33434"/>
    <w:rsid w:val="00F34D01"/>
    <w:rsid w:val="00F37AE8"/>
    <w:rsid w:val="00F40913"/>
    <w:rsid w:val="00F410E2"/>
    <w:rsid w:val="00F456E9"/>
    <w:rsid w:val="00F46FB9"/>
    <w:rsid w:val="00F50215"/>
    <w:rsid w:val="00F512DE"/>
    <w:rsid w:val="00F5279F"/>
    <w:rsid w:val="00F5319A"/>
    <w:rsid w:val="00F55441"/>
    <w:rsid w:val="00F55D07"/>
    <w:rsid w:val="00F565FF"/>
    <w:rsid w:val="00F56D13"/>
    <w:rsid w:val="00F57AD1"/>
    <w:rsid w:val="00F633FB"/>
    <w:rsid w:val="00F65129"/>
    <w:rsid w:val="00F651BD"/>
    <w:rsid w:val="00F668FE"/>
    <w:rsid w:val="00F674E2"/>
    <w:rsid w:val="00F70435"/>
    <w:rsid w:val="00F715D0"/>
    <w:rsid w:val="00F743A0"/>
    <w:rsid w:val="00F747D2"/>
    <w:rsid w:val="00F74B2C"/>
    <w:rsid w:val="00F776BB"/>
    <w:rsid w:val="00F77CEA"/>
    <w:rsid w:val="00F80385"/>
    <w:rsid w:val="00F806BA"/>
    <w:rsid w:val="00F808BF"/>
    <w:rsid w:val="00F81493"/>
    <w:rsid w:val="00F842F6"/>
    <w:rsid w:val="00F84B69"/>
    <w:rsid w:val="00F8561D"/>
    <w:rsid w:val="00F90209"/>
    <w:rsid w:val="00F9107D"/>
    <w:rsid w:val="00F9252B"/>
    <w:rsid w:val="00F949EC"/>
    <w:rsid w:val="00F951F9"/>
    <w:rsid w:val="00F9647B"/>
    <w:rsid w:val="00F96C25"/>
    <w:rsid w:val="00F978BC"/>
    <w:rsid w:val="00FA1C28"/>
    <w:rsid w:val="00FA3226"/>
    <w:rsid w:val="00FA3800"/>
    <w:rsid w:val="00FA5A77"/>
    <w:rsid w:val="00FA6A7B"/>
    <w:rsid w:val="00FA6F60"/>
    <w:rsid w:val="00FA7070"/>
    <w:rsid w:val="00FA710C"/>
    <w:rsid w:val="00FB136E"/>
    <w:rsid w:val="00FB1B43"/>
    <w:rsid w:val="00FB1D2C"/>
    <w:rsid w:val="00FB26F8"/>
    <w:rsid w:val="00FB2911"/>
    <w:rsid w:val="00FB381C"/>
    <w:rsid w:val="00FB39CE"/>
    <w:rsid w:val="00FB3D86"/>
    <w:rsid w:val="00FB7187"/>
    <w:rsid w:val="00FB7601"/>
    <w:rsid w:val="00FC0384"/>
    <w:rsid w:val="00FC0385"/>
    <w:rsid w:val="00FC09EA"/>
    <w:rsid w:val="00FC0BDB"/>
    <w:rsid w:val="00FC19D3"/>
    <w:rsid w:val="00FC2289"/>
    <w:rsid w:val="00FC2C42"/>
    <w:rsid w:val="00FC2DC5"/>
    <w:rsid w:val="00FC4297"/>
    <w:rsid w:val="00FC46A1"/>
    <w:rsid w:val="00FC5AD7"/>
    <w:rsid w:val="00FC5B1E"/>
    <w:rsid w:val="00FC60DE"/>
    <w:rsid w:val="00FC771C"/>
    <w:rsid w:val="00FD143D"/>
    <w:rsid w:val="00FD3385"/>
    <w:rsid w:val="00FD51D8"/>
    <w:rsid w:val="00FD6F27"/>
    <w:rsid w:val="00FD77E4"/>
    <w:rsid w:val="00FE1257"/>
    <w:rsid w:val="00FE243E"/>
    <w:rsid w:val="00FE2F5C"/>
    <w:rsid w:val="00FE4437"/>
    <w:rsid w:val="00FE47E9"/>
    <w:rsid w:val="00FE4E11"/>
    <w:rsid w:val="00FE54A0"/>
    <w:rsid w:val="00FE54BD"/>
    <w:rsid w:val="00FE715A"/>
    <w:rsid w:val="00FE7939"/>
    <w:rsid w:val="00FE7ACB"/>
    <w:rsid w:val="00FE7CC1"/>
    <w:rsid w:val="00FF0ED0"/>
    <w:rsid w:val="00FF3D87"/>
    <w:rsid w:val="00FF466A"/>
    <w:rsid w:val="00FF5996"/>
    <w:rsid w:val="00FF5AC9"/>
    <w:rsid w:val="00FF689C"/>
    <w:rsid w:val="00FF6A2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0A5972-B25A-4D5F-AE42-0F7D96AF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A3"/>
  </w:style>
  <w:style w:type="paragraph" w:styleId="Cabealho1">
    <w:name w:val="heading 1"/>
    <w:basedOn w:val="Normal"/>
    <w:next w:val="Normal"/>
    <w:link w:val="Cabealho1Carter"/>
    <w:qFormat/>
    <w:rsid w:val="008559E1"/>
    <w:pPr>
      <w:keepNext/>
      <w:spacing w:before="100" w:beforeAutospacing="1" w:after="100" w:afterAutospacing="1" w:line="240" w:lineRule="auto"/>
      <w:ind w:left="1080"/>
      <w:jc w:val="both"/>
      <w:outlineLvl w:val="0"/>
    </w:pPr>
    <w:rPr>
      <w:rFonts w:ascii="Arial" w:eastAsia="Times New Roman" w:hAnsi="Arial" w:cs="Arial"/>
      <w:smallCaps/>
      <w:sz w:val="20"/>
      <w:szCs w:val="2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3DB3"/>
  </w:style>
  <w:style w:type="paragraph" w:styleId="Rodap">
    <w:name w:val="footer"/>
    <w:basedOn w:val="Normal"/>
    <w:link w:val="RodapCarter"/>
    <w:uiPriority w:val="99"/>
    <w:unhideWhenUsed/>
    <w:rsid w:val="00943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3DB3"/>
  </w:style>
  <w:style w:type="paragraph" w:styleId="PargrafodaLista">
    <w:name w:val="List Paragraph"/>
    <w:basedOn w:val="Normal"/>
    <w:link w:val="PargrafodaListaCarter"/>
    <w:uiPriority w:val="34"/>
    <w:qFormat/>
    <w:rsid w:val="00C25CEB"/>
    <w:pPr>
      <w:ind w:left="720"/>
      <w:contextualSpacing/>
    </w:pPr>
  </w:style>
  <w:style w:type="paragraph" w:customStyle="1" w:styleId="HeaderIA">
    <w:name w:val="HeaderIA"/>
    <w:basedOn w:val="Normal"/>
    <w:rsid w:val="00943036"/>
    <w:pPr>
      <w:widowControl w:val="0"/>
      <w:tabs>
        <w:tab w:val="center" w:pos="425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rsid w:val="008559E1"/>
    <w:rPr>
      <w:rFonts w:ascii="Arial" w:eastAsia="Times New Roman" w:hAnsi="Arial" w:cs="Arial"/>
      <w:smallCaps/>
      <w:sz w:val="20"/>
      <w:szCs w:val="20"/>
      <w:u w:val="single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B5AE7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B5AE7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59"/>
    <w:rsid w:val="00C8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8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134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27645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92764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9276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276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27645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75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75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75C"/>
    <w:rPr>
      <w:vertAlign w:val="superscript"/>
    </w:rPr>
  </w:style>
  <w:style w:type="character" w:customStyle="1" w:styleId="PargrafodaListaCarter">
    <w:name w:val="Parágrafo da Lista Caráter"/>
    <w:link w:val="PargrafodaLista"/>
    <w:uiPriority w:val="34"/>
    <w:locked/>
    <w:rsid w:val="00606628"/>
  </w:style>
  <w:style w:type="paragraph" w:customStyle="1" w:styleId="info">
    <w:name w:val="info"/>
    <w:basedOn w:val="Normal"/>
    <w:rsid w:val="0084454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paragraph" w:customStyle="1" w:styleId="infotxt">
    <w:name w:val="infotxt"/>
    <w:basedOn w:val="info"/>
    <w:rsid w:val="0084454E"/>
    <w:pPr>
      <w:ind w:left="142" w:right="-8"/>
    </w:pPr>
    <w:rPr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ED74F7"/>
    <w:rPr>
      <w:color w:val="808080"/>
    </w:rPr>
  </w:style>
  <w:style w:type="paragraph" w:styleId="NormalWeb">
    <w:name w:val="Normal (Web)"/>
    <w:basedOn w:val="Normal"/>
    <w:uiPriority w:val="99"/>
    <w:rsid w:val="006F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3734C"/>
  </w:style>
  <w:style w:type="paragraph" w:customStyle="1" w:styleId="Default">
    <w:name w:val="Default"/>
    <w:rsid w:val="007A4C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1B1E42"/>
    <w:pPr>
      <w:keepLines/>
      <w:spacing w:before="240" w:beforeAutospacing="0" w:after="0" w:afterAutospacing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smallCaps w:val="0"/>
      <w:color w:val="2E74B5" w:themeColor="accent1" w:themeShade="BF"/>
      <w:sz w:val="32"/>
      <w:szCs w:val="32"/>
      <w:u w:val="none"/>
    </w:rPr>
  </w:style>
  <w:style w:type="paragraph" w:styleId="ndice1">
    <w:name w:val="toc 1"/>
    <w:basedOn w:val="Normal"/>
    <w:next w:val="Normal"/>
    <w:autoRedefine/>
    <w:uiPriority w:val="39"/>
    <w:unhideWhenUsed/>
    <w:rsid w:val="009102C9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102C9"/>
    <w:pPr>
      <w:spacing w:after="100"/>
      <w:ind w:left="220"/>
    </w:pPr>
  </w:style>
  <w:style w:type="table" w:customStyle="1" w:styleId="Tabelacomgrelha1">
    <w:name w:val="Tabela com grelha1"/>
    <w:basedOn w:val="Tabelanormal"/>
    <w:next w:val="Tabelacomgrelha"/>
    <w:uiPriority w:val="39"/>
    <w:rsid w:val="00F1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E6C53"/>
    <w:pPr>
      <w:spacing w:after="0" w:line="240" w:lineRule="auto"/>
    </w:pPr>
  </w:style>
  <w:style w:type="table" w:customStyle="1" w:styleId="Tabelacomgrelha2">
    <w:name w:val="Tabela com grelha2"/>
    <w:basedOn w:val="Tabelanormal"/>
    <w:next w:val="Tabelacomgrelha"/>
    <w:uiPriority w:val="59"/>
    <w:rsid w:val="00512B1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F65129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456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853B-02C8-419F-B4BD-86585B77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2258</Words>
  <Characters>12194</Characters>
  <Application>Microsoft Office Word</Application>
  <DocSecurity>4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Velosa</dc:creator>
  <cp:lastModifiedBy>APA-DAIA</cp:lastModifiedBy>
  <cp:revision>2</cp:revision>
  <cp:lastPrinted>2016-11-04T11:29:00Z</cp:lastPrinted>
  <dcterms:created xsi:type="dcterms:W3CDTF">2016-12-28T15:06:00Z</dcterms:created>
  <dcterms:modified xsi:type="dcterms:W3CDTF">2016-12-28T15:06:00Z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DocID">
    <vt:lpwstr>1630961</vt:lpwstr>
  </property>
  <property fmtid="{D5CDD505-2E9C-101B-9397-08002B2CF9AE}" pid="3" name="FileDoc_DocFileID">
    <vt:lpwstr>1846996</vt:lpwstr>
  </property>
</Properties>
</file>